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DFC9" w14:textId="77777777" w:rsidR="00D5547E" w:rsidRPr="009E51FC" w:rsidRDefault="00D5547E" w:rsidP="004A6D2F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="00CE544A" w:rsidRPr="00975B07" w14:paraId="04473DCA" w14:textId="77777777" w:rsidTr="62B73EE3">
        <w:tc>
          <w:tcPr>
            <w:tcW w:w="2438" w:type="dxa"/>
            <w:shd w:val="clear" w:color="auto" w:fill="auto"/>
          </w:tcPr>
          <w:p w14:paraId="334BE3F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017518DB" w14:textId="01823EB4" w:rsidR="00F445B1" w:rsidRPr="00A06DB8" w:rsidRDefault="00DB7AD7" w:rsidP="004A6D2F">
            <w:pPr>
              <w:rPr>
                <w:rStyle w:val="Firstpagetablebold"/>
              </w:rPr>
            </w:pPr>
            <w:r w:rsidRPr="00A06DB8">
              <w:rPr>
                <w:rStyle w:val="Firstpagetablebold"/>
              </w:rPr>
              <w:t>Cabinet</w:t>
            </w:r>
          </w:p>
        </w:tc>
      </w:tr>
      <w:tr w:rsidR="00CE544A" w:rsidRPr="00975B07" w14:paraId="705FA4FB" w14:textId="77777777" w:rsidTr="62B73EE3">
        <w:tc>
          <w:tcPr>
            <w:tcW w:w="2438" w:type="dxa"/>
            <w:shd w:val="clear" w:color="auto" w:fill="auto"/>
          </w:tcPr>
          <w:p w14:paraId="3C1A12A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="005C35A5" w:rsidRPr="00975B07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</w:tcPr>
          <w:p w14:paraId="4F4A4C58" w14:textId="7AFD477D" w:rsidR="00F445B1" w:rsidRPr="009E30E2" w:rsidRDefault="00FD51DC" w:rsidP="62B73EE3">
            <w:pPr>
              <w:rPr>
                <w:b/>
                <w:bCs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9 July 2025</w:t>
            </w:r>
          </w:p>
        </w:tc>
      </w:tr>
      <w:tr w:rsidR="00CE544A" w:rsidRPr="00975B07" w14:paraId="7AED9E48" w14:textId="77777777" w:rsidTr="62B73EE3">
        <w:tc>
          <w:tcPr>
            <w:tcW w:w="2438" w:type="dxa"/>
            <w:shd w:val="clear" w:color="auto" w:fill="auto"/>
          </w:tcPr>
          <w:p w14:paraId="2049294C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31C202AE" w14:textId="352A3082" w:rsidR="00F445B1" w:rsidRPr="009E30E2" w:rsidRDefault="00173534" w:rsidP="004A6D2F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 xml:space="preserve">Director of Law, Governance </w:t>
            </w:r>
            <w:r w:rsidR="00F61443">
              <w:rPr>
                <w:rStyle w:val="Firstpagetablebold"/>
                <w:rFonts w:cs="Arial"/>
                <w:b w:val="0"/>
                <w:color w:val="auto"/>
              </w:rPr>
              <w:t>and</w:t>
            </w:r>
            <w:r>
              <w:rPr>
                <w:rStyle w:val="Firstpagetablebold"/>
                <w:rFonts w:cs="Arial"/>
                <w:b w:val="0"/>
                <w:color w:val="auto"/>
              </w:rPr>
              <w:t xml:space="preserve"> Strategy (Monitoring Officer)</w:t>
            </w:r>
          </w:p>
        </w:tc>
      </w:tr>
      <w:tr w:rsidR="00CE544A" w:rsidRPr="00975B07" w14:paraId="312CDF01" w14:textId="77777777" w:rsidTr="62B73EE3">
        <w:tc>
          <w:tcPr>
            <w:tcW w:w="2438" w:type="dxa"/>
            <w:shd w:val="clear" w:color="auto" w:fill="auto"/>
          </w:tcPr>
          <w:p w14:paraId="08DE1E88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</w:tcPr>
          <w:p w14:paraId="4C45E9F3" w14:textId="453DCAC5" w:rsidR="00F445B1" w:rsidRPr="009E30E2" w:rsidRDefault="00025250" w:rsidP="004A6D2F">
            <w:pPr>
              <w:rPr>
                <w:rStyle w:val="Firstpagetablebold"/>
                <w:color w:val="auto"/>
              </w:rPr>
            </w:pPr>
            <w:r w:rsidRPr="009E30E2">
              <w:rPr>
                <w:rStyle w:val="Firstpagetablebold"/>
                <w:rFonts w:cs="Arial"/>
                <w:b w:val="0"/>
                <w:color w:val="auto"/>
              </w:rPr>
              <w:t>A</w:t>
            </w:r>
            <w:r w:rsidR="00AE73EC">
              <w:rPr>
                <w:rStyle w:val="Firstpagetablebold"/>
                <w:rFonts w:cs="Arial"/>
                <w:b w:val="0"/>
                <w:color w:val="auto"/>
              </w:rPr>
              <w:t>ppointments to Outside Bodies 2025/2026</w:t>
            </w:r>
          </w:p>
        </w:tc>
      </w:tr>
    </w:tbl>
    <w:p w14:paraId="2173E708" w14:textId="77777777" w:rsidR="004F20EF" w:rsidRDefault="004F20EF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14:paraId="30A8EDD0" w14:textId="77777777" w:rsidTr="0080749A">
        <w:tc>
          <w:tcPr>
            <w:tcW w:w="8845" w:type="dxa"/>
            <w:gridSpan w:val="2"/>
            <w:tcBorders>
              <w:bottom w:val="single" w:sz="8" w:space="0" w:color="000000"/>
            </w:tcBorders>
            <w:hideMark/>
          </w:tcPr>
          <w:p w14:paraId="7672E430" w14:textId="77777777" w:rsidR="00D5547E" w:rsidRDefault="00745BF0" w:rsidP="00745BF0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14:paraId="01894138" w14:textId="77777777" w:rsidTr="0080749A"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BB81F73" w14:textId="120319E8" w:rsidR="00D5547E" w:rsidRDefault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19B6548" w14:textId="68450C75" w:rsidR="00D5547E" w:rsidRPr="009E30E2" w:rsidRDefault="00AB071F" w:rsidP="00DB7AD7">
            <w:pPr>
              <w:rPr>
                <w:color w:val="auto"/>
              </w:rPr>
            </w:pPr>
            <w:r w:rsidRPr="00AB071F">
              <w:rPr>
                <w:color w:val="auto"/>
              </w:rPr>
              <w:t>To agree appointments to Outside Bodies for the 202</w:t>
            </w:r>
            <w:r w:rsidR="00A06DB8">
              <w:rPr>
                <w:color w:val="auto"/>
              </w:rPr>
              <w:t>5</w:t>
            </w:r>
            <w:r w:rsidRPr="00AB071F">
              <w:rPr>
                <w:color w:val="auto"/>
              </w:rPr>
              <w:t>/2</w:t>
            </w:r>
            <w:r w:rsidR="009C1978">
              <w:rPr>
                <w:color w:val="auto"/>
              </w:rPr>
              <w:t>02</w:t>
            </w:r>
            <w:r w:rsidR="00A06DB8">
              <w:rPr>
                <w:color w:val="auto"/>
              </w:rPr>
              <w:t>6</w:t>
            </w:r>
            <w:r w:rsidRPr="00AB071F">
              <w:rPr>
                <w:color w:val="auto"/>
              </w:rPr>
              <w:t xml:space="preserve"> Council Year</w:t>
            </w:r>
          </w:p>
        </w:tc>
      </w:tr>
      <w:tr w:rsidR="00025250" w14:paraId="43BD728D" w14:textId="77777777" w:rsidTr="0080749A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997AE7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B0C58F5" w14:textId="6D019E43" w:rsidR="00025250" w:rsidRPr="009E30E2" w:rsidRDefault="00AB071F" w:rsidP="00025250">
            <w:pPr>
              <w:rPr>
                <w:color w:val="auto"/>
              </w:rPr>
            </w:pPr>
            <w:r>
              <w:rPr>
                <w:rFonts w:cs="Arial"/>
                <w:color w:val="auto"/>
              </w:rPr>
              <w:t>N</w:t>
            </w:r>
            <w:r>
              <w:t>o</w:t>
            </w:r>
            <w:r w:rsidR="00025250" w:rsidRPr="009E30E2">
              <w:rPr>
                <w:rFonts w:cs="Arial"/>
                <w:color w:val="auto"/>
              </w:rPr>
              <w:t xml:space="preserve"> </w:t>
            </w:r>
          </w:p>
        </w:tc>
      </w:tr>
      <w:tr w:rsidR="00025250" w14:paraId="10A3E36F" w14:textId="77777777" w:rsidTr="0080749A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5E06E9D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E006809" w14:textId="61C7E537" w:rsidR="00025250" w:rsidRPr="009E30E2" w:rsidRDefault="00025250" w:rsidP="00025250">
            <w:pPr>
              <w:rPr>
                <w:color w:val="auto"/>
              </w:rPr>
            </w:pPr>
            <w:r w:rsidRPr="009E30E2">
              <w:rPr>
                <w:color w:val="auto"/>
              </w:rPr>
              <w:t xml:space="preserve">Councillor </w:t>
            </w:r>
            <w:r w:rsidR="00AB071F">
              <w:rPr>
                <w:color w:val="auto"/>
              </w:rPr>
              <w:t>S</w:t>
            </w:r>
            <w:r w:rsidR="00AB071F">
              <w:t>usan Brown</w:t>
            </w:r>
            <w:r w:rsidRPr="009E30E2">
              <w:rPr>
                <w:color w:val="auto"/>
              </w:rPr>
              <w:t xml:space="preserve">, </w:t>
            </w:r>
            <w:r w:rsidR="00BC11FC" w:rsidRPr="00BC11FC">
              <w:rPr>
                <w:color w:val="auto"/>
              </w:rPr>
              <w:t>Leader, and Cabinet Member for Partnership Working and Inclusive Economic Growth</w:t>
            </w:r>
          </w:p>
        </w:tc>
      </w:tr>
      <w:tr w:rsidR="00025250" w14:paraId="7B700325" w14:textId="77777777" w:rsidTr="0097170F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58DBB5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F1AC69" w14:textId="61A9E62F" w:rsidR="00025250" w:rsidRPr="009E30E2" w:rsidRDefault="00432E99" w:rsidP="00025250">
            <w:pPr>
              <w:rPr>
                <w:color w:val="auto"/>
              </w:rPr>
            </w:pPr>
            <w:r>
              <w:rPr>
                <w:color w:val="auto"/>
              </w:rPr>
              <w:t>S</w:t>
            </w:r>
            <w:r>
              <w:t>upport Thriving Communities</w:t>
            </w:r>
            <w:r w:rsidR="00025250" w:rsidRPr="009E30E2">
              <w:rPr>
                <w:color w:val="auto"/>
              </w:rPr>
              <w:t>.</w:t>
            </w:r>
          </w:p>
        </w:tc>
      </w:tr>
      <w:tr w:rsidR="00025250" w14:paraId="63186D5F" w14:textId="77777777" w:rsidTr="0097170F"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13359BD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AA7D163" w14:textId="0D384E87" w:rsidR="00025250" w:rsidRPr="009E30E2" w:rsidRDefault="00432E99" w:rsidP="00025250">
            <w:pPr>
              <w:rPr>
                <w:color w:val="auto"/>
              </w:rPr>
            </w:pPr>
            <w:r>
              <w:rPr>
                <w:color w:val="auto"/>
              </w:rPr>
              <w:t>C</w:t>
            </w:r>
            <w:r>
              <w:t>ouncil Strategy 2025-2029</w:t>
            </w:r>
            <w:r w:rsidR="00025250" w:rsidRPr="009E30E2">
              <w:rPr>
                <w:color w:val="auto"/>
              </w:rPr>
              <w:t>.</w:t>
            </w:r>
          </w:p>
        </w:tc>
      </w:tr>
    </w:tbl>
    <w:p w14:paraId="3B28CE5F" w14:textId="77777777" w:rsidR="00CE544A" w:rsidRDefault="00CE544A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="00025250" w:rsidRPr="00975B07" w14:paraId="75BF65A5" w14:textId="77777777" w:rsidTr="61A3A15C">
        <w:trPr>
          <w:trHeight w:val="413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</w:tcPr>
          <w:p w14:paraId="18FB24CC" w14:textId="140E9700" w:rsidR="00025250" w:rsidRPr="00975B07" w:rsidRDefault="00025250" w:rsidP="00FD0B08">
            <w:r w:rsidRPr="62B73EE3">
              <w:rPr>
                <w:rStyle w:val="Firstpagetablebold"/>
              </w:rPr>
              <w:t>Recommendation(s):</w:t>
            </w:r>
            <w:r w:rsidR="571C62E4" w:rsidRPr="62B73EE3">
              <w:rPr>
                <w:rStyle w:val="Firstpagetablebold"/>
              </w:rPr>
              <w:t xml:space="preserve"> </w:t>
            </w:r>
            <w:r w:rsidRPr="62B73EE3">
              <w:rPr>
                <w:rStyle w:val="Firstpagetablebold"/>
                <w:b w:val="0"/>
              </w:rPr>
              <w:t>That Cabinet resolves to:</w:t>
            </w:r>
          </w:p>
        </w:tc>
      </w:tr>
      <w:tr w:rsidR="000772FF" w:rsidRPr="00975B07" w14:paraId="128A7C0D" w14:textId="77777777" w:rsidTr="61A3A15C">
        <w:trPr>
          <w:trHeight w:val="283"/>
        </w:trPr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4AAB6C58" w14:textId="77777777" w:rsidR="000772FF" w:rsidRPr="00975B07" w:rsidRDefault="000772FF" w:rsidP="000772FF">
            <w:r w:rsidRPr="00975B07">
              <w:t>1.</w:t>
            </w:r>
          </w:p>
        </w:tc>
        <w:tc>
          <w:tcPr>
            <w:tcW w:w="8419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auto"/>
          </w:tcPr>
          <w:p w14:paraId="2D683A1F" w14:textId="3F474C4F" w:rsidR="000772FF" w:rsidRPr="001356F1" w:rsidRDefault="000772FF" w:rsidP="000772FF">
            <w:r w:rsidRPr="00E35F2C">
              <w:rPr>
                <w:b/>
                <w:color w:val="auto"/>
              </w:rPr>
              <w:t>Approve</w:t>
            </w:r>
            <w:r w:rsidRPr="00E35F2C">
              <w:rPr>
                <w:color w:val="auto"/>
              </w:rPr>
              <w:t xml:space="preserve"> appointments to </w:t>
            </w:r>
            <w:r w:rsidRPr="0079698E">
              <w:rPr>
                <w:rStyle w:val="Firstpagetablebold"/>
                <w:b w:val="0"/>
                <w:bCs/>
                <w:color w:val="auto"/>
              </w:rPr>
              <w:t>charities, trusts, community associations and other organisations</w:t>
            </w:r>
            <w:r w:rsidRPr="00E35F2C">
              <w:rPr>
                <w:color w:val="auto"/>
              </w:rPr>
              <w:t xml:space="preserve"> as </w:t>
            </w:r>
            <w:r w:rsidR="00DD5768">
              <w:rPr>
                <w:color w:val="auto"/>
              </w:rPr>
              <w:t xml:space="preserve">set out </w:t>
            </w:r>
            <w:r w:rsidRPr="00E35F2C">
              <w:rPr>
                <w:color w:val="auto"/>
              </w:rPr>
              <w:t>in Appendices 1A – 1D; and note the appointments to partnerships as detailed in Appendix 1E</w:t>
            </w:r>
            <w:r>
              <w:rPr>
                <w:color w:val="auto"/>
              </w:rPr>
              <w:t>;</w:t>
            </w:r>
          </w:p>
        </w:tc>
      </w:tr>
      <w:tr w:rsidR="000772FF" w:rsidRPr="00975B07" w14:paraId="25E85822" w14:textId="77777777" w:rsidTr="61A3A15C">
        <w:trPr>
          <w:trHeight w:val="450"/>
        </w:trPr>
        <w:tc>
          <w:tcPr>
            <w:tcW w:w="4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5C5A875" w14:textId="77777777" w:rsidR="000772FF" w:rsidRPr="00975B07" w:rsidRDefault="000772FF" w:rsidP="000772FF">
            <w:r w:rsidRPr="00975B07">
              <w:t>2.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</w:tcPr>
          <w:p w14:paraId="6ADC7102" w14:textId="2D4740ED" w:rsidR="000772FF" w:rsidRPr="001356F1" w:rsidRDefault="000772FF" w:rsidP="000772FF">
            <w:r w:rsidRPr="00E35F2C">
              <w:rPr>
                <w:b/>
                <w:color w:val="auto"/>
              </w:rPr>
              <w:t xml:space="preserve">Note </w:t>
            </w:r>
            <w:r w:rsidRPr="00E35F2C">
              <w:rPr>
                <w:color w:val="auto"/>
              </w:rPr>
              <w:t>the guidance for appointees in Appendix 2;</w:t>
            </w:r>
            <w:r>
              <w:rPr>
                <w:color w:val="auto"/>
              </w:rPr>
              <w:t xml:space="preserve"> and</w:t>
            </w:r>
          </w:p>
        </w:tc>
      </w:tr>
      <w:tr w:rsidR="00025250" w:rsidRPr="00975B07" w14:paraId="2BFBBF69" w14:textId="77777777" w:rsidTr="61A3A15C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28750F8" w14:textId="2C1915A6" w:rsidR="00025250" w:rsidRPr="00975B07" w:rsidRDefault="004176A3" w:rsidP="00FD0B08">
            <w:r>
              <w:t>3</w:t>
            </w:r>
            <w:r w:rsidR="00025250" w:rsidRPr="00975B07">
              <w:t>.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3A19C8" w14:textId="464E8A49" w:rsidR="00025250" w:rsidRPr="001356F1" w:rsidRDefault="004176A3" w:rsidP="00FD0B08">
            <w:r w:rsidRPr="004176A3">
              <w:rPr>
                <w:b/>
              </w:rPr>
              <w:t>Delegate authority</w:t>
            </w:r>
            <w:r w:rsidRPr="004176A3">
              <w:rPr>
                <w:bCs/>
              </w:rPr>
              <w:t xml:space="preserve"> to the </w:t>
            </w:r>
            <w:r>
              <w:rPr>
                <w:bCs/>
              </w:rPr>
              <w:t>Director of Law, Governance and Strategy,</w:t>
            </w:r>
            <w:r w:rsidRPr="004176A3">
              <w:rPr>
                <w:bCs/>
              </w:rPr>
              <w:t xml:space="preserve"> in consultation with the Leader of the Council, and where appropriate with other group leaders, to make any changes to appointments to Outside Bodies as required during the Council year 202</w:t>
            </w:r>
            <w:r>
              <w:rPr>
                <w:bCs/>
              </w:rPr>
              <w:t>5</w:t>
            </w:r>
            <w:r w:rsidRPr="004176A3">
              <w:rPr>
                <w:bCs/>
              </w:rPr>
              <w:t>/2</w:t>
            </w:r>
            <w:r w:rsidR="009C1978">
              <w:rPr>
                <w:bCs/>
              </w:rPr>
              <w:t>02</w:t>
            </w:r>
            <w:r>
              <w:rPr>
                <w:bCs/>
              </w:rPr>
              <w:t>6</w:t>
            </w:r>
            <w:r w:rsidRPr="004176A3">
              <w:rPr>
                <w:b/>
              </w:rPr>
              <w:t>.</w:t>
            </w:r>
          </w:p>
        </w:tc>
      </w:tr>
    </w:tbl>
    <w:p w14:paraId="7D5A6705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3B4A7E" w:rsidRPr="003E4C33" w14:paraId="2564D72E" w14:textId="77777777" w:rsidTr="00D81F64">
        <w:trPr>
          <w:trHeight w:val="300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  <w:hideMark/>
          </w:tcPr>
          <w:p w14:paraId="3ECEFA4B" w14:textId="77777777" w:rsidR="003B4A7E" w:rsidRPr="003E4C33" w:rsidRDefault="003B4A7E" w:rsidP="00D81F64">
            <w:pPr>
              <w:jc w:val="center"/>
              <w:rPr>
                <w:rStyle w:val="Firstpagetablebold"/>
                <w:rFonts w:cs="Arial"/>
              </w:rPr>
            </w:pPr>
            <w:r w:rsidRPr="003E4C33">
              <w:rPr>
                <w:rStyle w:val="Firstpagetablebold"/>
                <w:rFonts w:cs="Arial"/>
              </w:rPr>
              <w:t xml:space="preserve">Information Exempt </w:t>
            </w:r>
            <w:proofErr w:type="gramStart"/>
            <w:r w:rsidRPr="003E4C33">
              <w:rPr>
                <w:rStyle w:val="Firstpagetablebold"/>
                <w:rFonts w:cs="Arial"/>
              </w:rPr>
              <w:t>From</w:t>
            </w:r>
            <w:proofErr w:type="gramEnd"/>
            <w:r w:rsidRPr="003E4C33">
              <w:rPr>
                <w:rStyle w:val="Firstpagetablebold"/>
                <w:rFonts w:cs="Arial"/>
              </w:rPr>
              <w:t xml:space="preserve"> Publication </w:t>
            </w:r>
          </w:p>
        </w:tc>
      </w:tr>
      <w:tr w:rsidR="003B4A7E" w:rsidRPr="003E4C33" w14:paraId="78221891" w14:textId="77777777" w:rsidTr="00D81F6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2438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4" w:space="0" w:color="auto"/>
            </w:tcBorders>
          </w:tcPr>
          <w:p w14:paraId="289FC193" w14:textId="77777777" w:rsidR="003B4A7E" w:rsidRPr="009E30E2" w:rsidRDefault="003B4A7E" w:rsidP="00D81F64">
            <w:pPr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  <w:color w:val="auto"/>
              </w:rPr>
              <w:t>N/A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3D1F148" w14:textId="77777777" w:rsidR="003B4A7E" w:rsidRPr="00C21EB4" w:rsidRDefault="003B4A7E" w:rsidP="00D81F64">
            <w:pPr>
              <w:ind w:left="360" w:hanging="360"/>
              <w:rPr>
                <w:rFonts w:cs="Arial"/>
              </w:rPr>
            </w:pPr>
            <w:r w:rsidRPr="00C21EB4">
              <w:rPr>
                <w:rFonts w:cs="Arial"/>
              </w:rPr>
              <w:t>N/A</w:t>
            </w:r>
          </w:p>
        </w:tc>
      </w:tr>
    </w:tbl>
    <w:p w14:paraId="3E3DC543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12"/>
        <w:gridCol w:w="5200"/>
        <w:gridCol w:w="1701"/>
      </w:tblGrid>
      <w:tr w:rsidR="002312EA" w:rsidRPr="003E4C33" w14:paraId="469C2CEE" w14:textId="77777777" w:rsidTr="00C5559A">
        <w:trPr>
          <w:trHeight w:val="300"/>
        </w:trPr>
        <w:tc>
          <w:tcPr>
            <w:tcW w:w="1912" w:type="dxa"/>
            <w:tcBorders>
              <w:bottom w:val="single" w:sz="4" w:space="0" w:color="auto"/>
            </w:tcBorders>
          </w:tcPr>
          <w:p w14:paraId="06B4268A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48373E4B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5DAC00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="002312EA" w:rsidRPr="003E4C33" w14:paraId="43C48BEB" w14:textId="77777777" w:rsidTr="00D9071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163" w14:textId="1DEA90CB" w:rsidR="002312EA" w:rsidRPr="009E30E2" w:rsidRDefault="002312EA" w:rsidP="00FD0B08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>Appendix 1</w:t>
            </w:r>
            <w:r w:rsidR="004176A3">
              <w:rPr>
                <w:rStyle w:val="Firstpagetablebold"/>
                <w:rFonts w:cs="Arial"/>
                <w:color w:val="auto"/>
              </w:rPr>
              <w:t>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561" w14:textId="4CC3E8C1" w:rsidR="002312EA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  <w:r>
              <w:t>ommunity Associations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49B4576" w14:textId="1F0DEF30" w:rsidR="002312EA" w:rsidRPr="009E30E2" w:rsidRDefault="007F30E8" w:rsidP="00C5559A">
            <w:pPr>
              <w:ind w:left="426" w:hanging="426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2312EA" w:rsidRPr="003E4C33" w14:paraId="5332D292" w14:textId="77777777" w:rsidTr="00C5559A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389E38" w14:textId="427D7E76" w:rsidR="002312EA" w:rsidRPr="009E30E2" w:rsidRDefault="002312EA" w:rsidP="00FD0B08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="004176A3">
              <w:rPr>
                <w:rStyle w:val="Firstpagetablebold"/>
                <w:rFonts w:cs="Arial"/>
                <w:color w:val="auto"/>
              </w:rPr>
              <w:t>1B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11B" w14:textId="2B7A274B" w:rsidR="002312EA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Other Organisations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E6EFED4" w14:textId="121D1750" w:rsidR="002312EA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4176A3" w:rsidRPr="003E4C33" w14:paraId="7E1F9D82" w14:textId="77777777" w:rsidTr="00C5559A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9323C4" w14:textId="34E836F0" w:rsidR="004176A3" w:rsidRPr="009E30E2" w:rsidRDefault="004176A3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lastRenderedPageBreak/>
              <w:t>Appendix 1C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4D7" w14:textId="017AD3E1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Trusts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4F09F64" w14:textId="0324DE40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4176A3" w:rsidRPr="003E4C33" w14:paraId="23A2463E" w14:textId="77777777" w:rsidTr="00C5559A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14EA15" w14:textId="392E1B56" w:rsidR="004176A3" w:rsidRPr="009E30E2" w:rsidRDefault="004176A3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>Appendix 1D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C55" w14:textId="5682F941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Charities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D96F783" w14:textId="149F4A4B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4176A3" w:rsidRPr="003E4C33" w14:paraId="33D4E317" w14:textId="77777777" w:rsidTr="00C5559A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A67BB4" w14:textId="204BD33E" w:rsidR="004176A3" w:rsidRPr="009E30E2" w:rsidRDefault="004176A3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>Appendix 1</w:t>
            </w:r>
            <w:r w:rsidR="00534816">
              <w:rPr>
                <w:rStyle w:val="Firstpagetablebold"/>
                <w:rFonts w:cs="Arial"/>
                <w:color w:val="auto"/>
              </w:rPr>
              <w:t>E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E67" w14:textId="2B8C64BD" w:rsidR="004176A3" w:rsidRPr="009E30E2" w:rsidRDefault="00811B96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Strategic Partnership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9DB27A" w14:textId="27899984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4176A3" w:rsidRPr="003E4C33" w14:paraId="28286E1C" w14:textId="77777777" w:rsidTr="00C5559A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3DE695" w14:textId="002C4F48" w:rsidR="004176A3" w:rsidRPr="009E30E2" w:rsidRDefault="004176A3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>Appendix 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555" w14:textId="0DB043E3" w:rsidR="004176A3" w:rsidRPr="009E30E2" w:rsidRDefault="00811B96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Guidance for Members (Updated 202</w:t>
            </w:r>
            <w:r w:rsidR="0079698E">
              <w:rPr>
                <w:rFonts w:cs="Arial"/>
                <w:color w:val="auto"/>
              </w:rPr>
              <w:t>5</w:t>
            </w:r>
            <w:r>
              <w:rPr>
                <w:rFonts w:cs="Arial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341A374" w14:textId="7746530D" w:rsidR="004176A3" w:rsidRPr="009E30E2" w:rsidRDefault="007F30E8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</w:tbl>
    <w:p w14:paraId="572B1CF3" w14:textId="77777777" w:rsidR="002312EA" w:rsidRDefault="002312EA" w:rsidP="004A6D2F"/>
    <w:p w14:paraId="50E21B3B" w14:textId="77777777" w:rsidR="0040736F" w:rsidRPr="001356F1" w:rsidRDefault="00F66DCA" w:rsidP="004A6D2F">
      <w:pPr>
        <w:pStyle w:val="Heading1"/>
      </w:pPr>
      <w:r w:rsidRPr="001356F1">
        <w:t>Introduction and b</w:t>
      </w:r>
      <w:r w:rsidR="00151888" w:rsidRPr="001356F1">
        <w:t>ackground</w:t>
      </w:r>
      <w:r w:rsidR="00404032" w:rsidRPr="001356F1">
        <w:t xml:space="preserve"> </w:t>
      </w:r>
    </w:p>
    <w:p w14:paraId="56CF6402" w14:textId="7A4EA53D" w:rsidR="00552284" w:rsidRPr="00552284" w:rsidRDefault="00552284" w:rsidP="00552284">
      <w:pPr>
        <w:pStyle w:val="bParagraphtext"/>
      </w:pPr>
      <w:r w:rsidRPr="00552284">
        <w:rPr>
          <w:color w:val="auto"/>
        </w:rPr>
        <w:t>The Council currently has representatives on a total of 5</w:t>
      </w:r>
      <w:r w:rsidR="003B3389">
        <w:rPr>
          <w:color w:val="auto"/>
        </w:rPr>
        <w:t>1</w:t>
      </w:r>
      <w:r w:rsidRPr="00552284">
        <w:rPr>
          <w:color w:val="auto"/>
        </w:rPr>
        <w:t xml:space="preserve"> outside bodies (15 community associations, 1</w:t>
      </w:r>
      <w:r w:rsidR="003B3389">
        <w:rPr>
          <w:color w:val="auto"/>
        </w:rPr>
        <w:t>7</w:t>
      </w:r>
      <w:r w:rsidRPr="00552284">
        <w:rPr>
          <w:color w:val="auto"/>
        </w:rPr>
        <w:t xml:space="preserve"> other organisations, 8 trusts and 1</w:t>
      </w:r>
      <w:r w:rsidR="0071774A">
        <w:rPr>
          <w:color w:val="auto"/>
        </w:rPr>
        <w:t>1</w:t>
      </w:r>
      <w:r w:rsidRPr="00552284">
        <w:rPr>
          <w:color w:val="auto"/>
        </w:rPr>
        <w:t xml:space="preserve"> charities).  These are detailed in Appendices 1A – 1D.  Many Council representatives sit on the committee of the organisation to which they have been appointed, with many acting in a non-voting advisory role or simply being invited to attend meetings as an observer. Councillors who have been appointed to charities and trusts generally serve as Trustees on those bodies.</w:t>
      </w:r>
    </w:p>
    <w:p w14:paraId="7EBD5EAD" w14:textId="3BFEEDC0" w:rsidR="00552284" w:rsidRPr="00552284" w:rsidRDefault="00552284" w:rsidP="00552284">
      <w:pPr>
        <w:pStyle w:val="bParagraphtext"/>
      </w:pPr>
      <w:r w:rsidRPr="00552284">
        <w:rPr>
          <w:color w:val="auto"/>
        </w:rPr>
        <w:t xml:space="preserve">The Council also has representatives on </w:t>
      </w:r>
      <w:r w:rsidR="0035433E">
        <w:rPr>
          <w:color w:val="auto"/>
        </w:rPr>
        <w:t>1</w:t>
      </w:r>
      <w:r w:rsidR="00036EA5">
        <w:rPr>
          <w:color w:val="auto"/>
        </w:rPr>
        <w:t>5</w:t>
      </w:r>
      <w:r w:rsidR="00C1247E">
        <w:rPr>
          <w:color w:val="auto"/>
        </w:rPr>
        <w:t xml:space="preserve"> </w:t>
      </w:r>
      <w:r w:rsidRPr="00552284">
        <w:rPr>
          <w:color w:val="auto"/>
        </w:rPr>
        <w:t>strategic partnerships (see Appendix 1E)</w:t>
      </w:r>
      <w:r w:rsidR="006E7F2B">
        <w:rPr>
          <w:color w:val="auto"/>
        </w:rPr>
        <w:t>.</w:t>
      </w:r>
      <w:r w:rsidRPr="00552284">
        <w:rPr>
          <w:color w:val="auto"/>
        </w:rPr>
        <w:t xml:space="preserve"> </w:t>
      </w:r>
      <w:r w:rsidR="006E7F2B">
        <w:rPr>
          <w:color w:val="auto"/>
        </w:rPr>
        <w:t>T</w:t>
      </w:r>
      <w:r w:rsidRPr="00552284">
        <w:rPr>
          <w:color w:val="auto"/>
        </w:rPr>
        <w:t>hese appointments are either made by the individual partnership or determined by virtue of a councillor’s position as a portfolio holder on the Council’s Cabinet.</w:t>
      </w:r>
    </w:p>
    <w:p w14:paraId="00A1C597" w14:textId="54B9D65E" w:rsidR="00552284" w:rsidRPr="00552284" w:rsidRDefault="00552284" w:rsidP="00552284">
      <w:pPr>
        <w:pStyle w:val="bParagraphtext"/>
      </w:pPr>
      <w:r>
        <w:t xml:space="preserve">Guidance </w:t>
      </w:r>
      <w:r w:rsidR="006E7F2B">
        <w:t xml:space="preserve">for </w:t>
      </w:r>
      <w:r>
        <w:t>Council representatives on these organisations is provided upon appointment</w:t>
      </w:r>
      <w:r w:rsidR="006E7F2B">
        <w:t xml:space="preserve">, to </w:t>
      </w:r>
      <w:r>
        <w:t xml:space="preserve">ensure that all appointees understand their role and responsibilities in representing the Council on the organisation. </w:t>
      </w:r>
      <w:r w:rsidRPr="00552284">
        <w:rPr>
          <w:color w:val="auto"/>
        </w:rPr>
        <w:t xml:space="preserve">A copy of the guidance is attached at Appendix 2. </w:t>
      </w:r>
    </w:p>
    <w:p w14:paraId="2DA3C44C" w14:textId="19CA28B3" w:rsidR="00552284" w:rsidRPr="00552284" w:rsidRDefault="00552284" w:rsidP="00552284">
      <w:pPr>
        <w:pStyle w:val="bParagraphtext"/>
      </w:pPr>
      <w:r w:rsidRPr="00552284">
        <w:rPr>
          <w:color w:val="auto"/>
        </w:rPr>
        <w:t xml:space="preserve">The list of </w:t>
      </w:r>
      <w:r w:rsidR="008F6FF8">
        <w:rPr>
          <w:color w:val="auto"/>
        </w:rPr>
        <w:t>o</w:t>
      </w:r>
      <w:r w:rsidRPr="00552284">
        <w:rPr>
          <w:color w:val="auto"/>
        </w:rPr>
        <w:t xml:space="preserve">utside </w:t>
      </w:r>
      <w:r w:rsidR="008F6FF8">
        <w:rPr>
          <w:color w:val="auto"/>
        </w:rPr>
        <w:t>b</w:t>
      </w:r>
      <w:r w:rsidRPr="00552284">
        <w:rPr>
          <w:color w:val="auto"/>
        </w:rPr>
        <w:t xml:space="preserve">odies and the appointment of representatives to those organisations is </w:t>
      </w:r>
      <w:r w:rsidR="006E7F2B">
        <w:rPr>
          <w:color w:val="auto"/>
        </w:rPr>
        <w:t>determined by</w:t>
      </w:r>
      <w:r w:rsidRPr="00552284">
        <w:rPr>
          <w:color w:val="auto"/>
        </w:rPr>
        <w:t xml:space="preserve"> the Leader of the Council, who seek</w:t>
      </w:r>
      <w:r w:rsidR="00501B54">
        <w:rPr>
          <w:color w:val="auto"/>
        </w:rPr>
        <w:t>s</w:t>
      </w:r>
      <w:r w:rsidRPr="00552284">
        <w:rPr>
          <w:color w:val="auto"/>
        </w:rPr>
        <w:t xml:space="preserve"> Cabinet agreement </w:t>
      </w:r>
      <w:r w:rsidR="00501B54">
        <w:rPr>
          <w:color w:val="auto"/>
        </w:rPr>
        <w:t xml:space="preserve">on </w:t>
      </w:r>
      <w:r w:rsidRPr="00552284">
        <w:rPr>
          <w:color w:val="auto"/>
        </w:rPr>
        <w:t xml:space="preserve">the nominations. This is </w:t>
      </w:r>
      <w:r w:rsidR="00501B54">
        <w:rPr>
          <w:color w:val="auto"/>
        </w:rPr>
        <w:t xml:space="preserve">reviewed </w:t>
      </w:r>
      <w:r w:rsidRPr="00552284">
        <w:rPr>
          <w:color w:val="auto"/>
        </w:rPr>
        <w:t xml:space="preserve">annually in July.  </w:t>
      </w:r>
    </w:p>
    <w:p w14:paraId="4188F045" w14:textId="7B8827FA" w:rsidR="00552284" w:rsidRDefault="00552284" w:rsidP="00552284">
      <w:pPr>
        <w:pStyle w:val="bParagraphtext"/>
      </w:pPr>
      <w:r>
        <w:t xml:space="preserve">Proposed changes to individual nominations or to the list of outside bodies will be reported to the Cabinet as required </w:t>
      </w:r>
      <w:r w:rsidRPr="000E1391">
        <w:t>during the year</w:t>
      </w:r>
      <w:r>
        <w:t>. Since 2017</w:t>
      </w:r>
      <w:r w:rsidR="00B84C57">
        <w:t>,</w:t>
      </w:r>
      <w:r>
        <w:t xml:space="preserve"> the authority to approve any </w:t>
      </w:r>
      <w:r w:rsidR="008F6FF8">
        <w:t xml:space="preserve">in year </w:t>
      </w:r>
      <w:r w:rsidRPr="000E1391">
        <w:t xml:space="preserve">change </w:t>
      </w:r>
      <w:r>
        <w:t>to the</w:t>
      </w:r>
      <w:r w:rsidRPr="000E1391">
        <w:t xml:space="preserve"> representation</w:t>
      </w:r>
      <w:r>
        <w:t xml:space="preserve"> on an individual organisation</w:t>
      </w:r>
      <w:r w:rsidRPr="000E1391">
        <w:t xml:space="preserve"> </w:t>
      </w:r>
      <w:r>
        <w:t>has been</w:t>
      </w:r>
      <w:r w:rsidRPr="000E1391">
        <w:t xml:space="preserve"> </w:t>
      </w:r>
      <w:r>
        <w:t xml:space="preserve">delegated to the </w:t>
      </w:r>
      <w:r w:rsidR="003253F9">
        <w:t xml:space="preserve">Director of </w:t>
      </w:r>
      <w:r>
        <w:t>Law</w:t>
      </w:r>
      <w:r w:rsidR="003253F9">
        <w:t>,</w:t>
      </w:r>
      <w:r>
        <w:t xml:space="preserve"> Governance</w:t>
      </w:r>
      <w:r w:rsidR="00F61443">
        <w:t xml:space="preserve"> and Strategy</w:t>
      </w:r>
      <w:r>
        <w:t xml:space="preserve"> in consultation with </w:t>
      </w:r>
      <w:r w:rsidRPr="000E1391">
        <w:t>the Leader of the Council</w:t>
      </w:r>
      <w:r>
        <w:t>, and where appropriate with</w:t>
      </w:r>
      <w:r w:rsidRPr="000E1391">
        <w:t xml:space="preserve"> other group leaders.</w:t>
      </w:r>
      <w:r>
        <w:t xml:space="preserve"> This delegation is restated annually to </w:t>
      </w:r>
      <w:r w:rsidR="00501B54">
        <w:t xml:space="preserve">ensure </w:t>
      </w:r>
      <w:r>
        <w:t xml:space="preserve">good governance and clear decision making. </w:t>
      </w:r>
    </w:p>
    <w:p w14:paraId="7B180B8E" w14:textId="1320D023" w:rsidR="00552284" w:rsidRDefault="00552284" w:rsidP="00552284">
      <w:pPr>
        <w:pStyle w:val="bParagraphtext"/>
        <w:ind w:left="426" w:hanging="426"/>
      </w:pPr>
      <w:r w:rsidRPr="0044313A">
        <w:t>In 2019</w:t>
      </w:r>
      <w:r w:rsidR="00534816">
        <w:t>,</w:t>
      </w:r>
      <w:r w:rsidRPr="0044313A">
        <w:t xml:space="preserve"> </w:t>
      </w:r>
      <w:r w:rsidR="008F6FF8">
        <w:t xml:space="preserve">the </w:t>
      </w:r>
      <w:r w:rsidRPr="0044313A">
        <w:t xml:space="preserve">Cabinet endorsed the Leader’s preferred approach, based on custom and practice, that nominations for Council representatives to </w:t>
      </w:r>
      <w:r w:rsidR="008F6FF8">
        <w:t>o</w:t>
      </w:r>
      <w:r w:rsidRPr="0044313A">
        <w:t xml:space="preserve">utside </w:t>
      </w:r>
      <w:r w:rsidR="008F6FF8">
        <w:t>b</w:t>
      </w:r>
      <w:r w:rsidRPr="0044313A">
        <w:t xml:space="preserve">odies should be drawn from the cohort of serving councillors; and that existing representatives who were no longer serving councillors should be permitted to serve out their terms of office should they wish to do so. </w:t>
      </w:r>
    </w:p>
    <w:p w14:paraId="2D9D39D6" w14:textId="23E9C3D6" w:rsidR="004D1028" w:rsidRDefault="00B96EA4" w:rsidP="004D1028">
      <w:pPr>
        <w:pStyle w:val="bParagraphtext"/>
        <w:numPr>
          <w:ilvl w:val="0"/>
          <w:numId w:val="0"/>
        </w:numPr>
      </w:pPr>
      <w:r w:rsidRPr="00B96EA4">
        <w:rPr>
          <w:b/>
        </w:rPr>
        <w:t xml:space="preserve">Categories for </w:t>
      </w:r>
      <w:r w:rsidR="004D1028">
        <w:rPr>
          <w:b/>
        </w:rPr>
        <w:t>A</w:t>
      </w:r>
      <w:r w:rsidRPr="00B96EA4">
        <w:rPr>
          <w:b/>
        </w:rPr>
        <w:t xml:space="preserve">ppointments to </w:t>
      </w:r>
      <w:r w:rsidR="004D1028" w:rsidRPr="00B96EA4">
        <w:rPr>
          <w:b/>
        </w:rPr>
        <w:t xml:space="preserve">Outside Bodies </w:t>
      </w:r>
    </w:p>
    <w:p w14:paraId="696F2B2E" w14:textId="7B11F767" w:rsidR="004D1028" w:rsidRDefault="004D1028" w:rsidP="004D1028">
      <w:pPr>
        <w:pStyle w:val="ListParagraph"/>
      </w:pPr>
      <w:r>
        <w:t>The list of organisations to which the Council makes appointments has evolved over time. The justification for the inclusion of many of the organisations on the list is self-evident</w:t>
      </w:r>
      <w:r w:rsidR="004F0075">
        <w:t>,</w:t>
      </w:r>
      <w:r>
        <w:t xml:space="preserve"> but in some cases the reasons for the Council to continue to appoint to an organisation is less obvious.</w:t>
      </w:r>
    </w:p>
    <w:p w14:paraId="61EF3D69" w14:textId="0B08EA42" w:rsidR="004D1028" w:rsidRDefault="004D1028" w:rsidP="004D1028">
      <w:pPr>
        <w:pStyle w:val="ListParagraph"/>
      </w:pPr>
      <w:r>
        <w:t>To address this</w:t>
      </w:r>
      <w:r w:rsidR="004F0075">
        <w:t>,</w:t>
      </w:r>
      <w:r>
        <w:t xml:space="preserve"> the following categories are used to provide some rigour to the </w:t>
      </w:r>
      <w:r w:rsidR="00534816">
        <w:t>decision-making</w:t>
      </w:r>
      <w:r>
        <w:t xml:space="preserve"> underpinning the Council appointments to </w:t>
      </w:r>
      <w:r w:rsidR="008F6FF8">
        <w:t>o</w:t>
      </w:r>
      <w:r>
        <w:t xml:space="preserve">utside </w:t>
      </w:r>
      <w:r w:rsidR="008F6FF8">
        <w:t>b</w:t>
      </w:r>
      <w:r>
        <w:t>odies:</w:t>
      </w:r>
    </w:p>
    <w:tbl>
      <w:tblPr>
        <w:tblStyle w:val="TableGrid"/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8017"/>
      </w:tblGrid>
      <w:tr w:rsidR="00541F83" w:rsidRPr="00F30CF6" w14:paraId="11D12098" w14:textId="77777777" w:rsidTr="00D81F64">
        <w:tc>
          <w:tcPr>
            <w:tcW w:w="567" w:type="dxa"/>
          </w:tcPr>
          <w:p w14:paraId="70C1344E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lastRenderedPageBreak/>
              <w:t>A.</w:t>
            </w:r>
          </w:p>
        </w:tc>
        <w:tc>
          <w:tcPr>
            <w:tcW w:w="8017" w:type="dxa"/>
          </w:tcPr>
          <w:p w14:paraId="3F0083E8" w14:textId="21BE05F8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Appointments to organisations that have a significant impact on the achievement of the Council’s corporate policy objectives and service priorities and/or organisations wh</w:t>
            </w:r>
            <w:r w:rsidR="004F0075">
              <w:rPr>
                <w:rFonts w:cs="Arial"/>
                <w:color w:val="auto"/>
              </w:rPr>
              <w:t>ich</w:t>
            </w:r>
            <w:r w:rsidRPr="00541F83">
              <w:rPr>
                <w:rFonts w:cs="Arial"/>
                <w:color w:val="auto"/>
              </w:rPr>
              <w:t xml:space="preserve"> receive funding from the Council </w:t>
            </w:r>
          </w:p>
        </w:tc>
      </w:tr>
      <w:tr w:rsidR="00541F83" w:rsidRPr="00F30CF6" w14:paraId="55A2A5A6" w14:textId="77777777" w:rsidTr="00D81F64">
        <w:tc>
          <w:tcPr>
            <w:tcW w:w="567" w:type="dxa"/>
          </w:tcPr>
          <w:p w14:paraId="1EDC1B5F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B.</w:t>
            </w:r>
          </w:p>
        </w:tc>
        <w:tc>
          <w:tcPr>
            <w:tcW w:w="8017" w:type="dxa"/>
          </w:tcPr>
          <w:p w14:paraId="7D12CF2B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Appointments to organisations with established historical links to the local community, the city of Oxford or the City Council on which representation is desirable and should be maintained as a matter of local goodwill and for as long as nominations are forthcoming from members</w:t>
            </w:r>
          </w:p>
        </w:tc>
      </w:tr>
      <w:tr w:rsidR="00541F83" w:rsidRPr="00F30CF6" w14:paraId="51DC91BB" w14:textId="77777777" w:rsidTr="00D81F64">
        <w:tc>
          <w:tcPr>
            <w:tcW w:w="567" w:type="dxa"/>
          </w:tcPr>
          <w:p w14:paraId="5BB9A30D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C.</w:t>
            </w:r>
          </w:p>
        </w:tc>
        <w:tc>
          <w:tcPr>
            <w:tcW w:w="8017" w:type="dxa"/>
          </w:tcPr>
          <w:p w14:paraId="7BB10A14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Appointments which will allow the Council to influence policy at a national or regional level</w:t>
            </w:r>
          </w:p>
        </w:tc>
      </w:tr>
      <w:tr w:rsidR="00541F83" w:rsidRPr="00F30CF6" w14:paraId="3D36C241" w14:textId="77777777" w:rsidTr="00D81F64">
        <w:tc>
          <w:tcPr>
            <w:tcW w:w="567" w:type="dxa"/>
          </w:tcPr>
          <w:p w14:paraId="15CFA580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D.</w:t>
            </w:r>
          </w:p>
        </w:tc>
        <w:tc>
          <w:tcPr>
            <w:tcW w:w="8017" w:type="dxa"/>
          </w:tcPr>
          <w:p w14:paraId="5A0CEEEC" w14:textId="77777777" w:rsidR="00541F83" w:rsidRPr="00541F83" w:rsidRDefault="00541F83" w:rsidP="00D81F64">
            <w:pPr>
              <w:spacing w:after="0"/>
              <w:rPr>
                <w:rFonts w:cs="Arial"/>
                <w:color w:val="auto"/>
              </w:rPr>
            </w:pPr>
            <w:r w:rsidRPr="00541F83">
              <w:rPr>
                <w:rFonts w:cs="Arial"/>
                <w:color w:val="auto"/>
              </w:rPr>
              <w:t>Appointments which are a statutory requirement and/or to a partnership</w:t>
            </w:r>
          </w:p>
        </w:tc>
      </w:tr>
    </w:tbl>
    <w:p w14:paraId="4A2BF4F4" w14:textId="77777777" w:rsidR="00541F83" w:rsidRPr="00127C8E" w:rsidRDefault="00541F83" w:rsidP="00541F83"/>
    <w:p w14:paraId="2E61B7B7" w14:textId="5C11C412" w:rsidR="008558A0" w:rsidRPr="002D2B59" w:rsidRDefault="008558A0" w:rsidP="008558A0">
      <w:pPr>
        <w:rPr>
          <w:b/>
          <w:color w:val="FF0000"/>
        </w:rPr>
      </w:pPr>
      <w:r>
        <w:rPr>
          <w:b/>
        </w:rPr>
        <w:t>Proposed Appointments and C</w:t>
      </w:r>
      <w:r w:rsidRPr="00E96AC4">
        <w:rPr>
          <w:b/>
        </w:rPr>
        <w:t xml:space="preserve">hanges to </w:t>
      </w:r>
      <w:r>
        <w:rPr>
          <w:b/>
        </w:rPr>
        <w:t>R</w:t>
      </w:r>
      <w:r w:rsidRPr="00E96AC4">
        <w:rPr>
          <w:b/>
        </w:rPr>
        <w:t>epresentation</w:t>
      </w:r>
      <w:r>
        <w:rPr>
          <w:b/>
        </w:rPr>
        <w:t xml:space="preserve"> in</w:t>
      </w:r>
      <w:r w:rsidRPr="00E96AC4">
        <w:rPr>
          <w:b/>
        </w:rPr>
        <w:t xml:space="preserve"> </w:t>
      </w:r>
      <w:r w:rsidRPr="00F70B88">
        <w:rPr>
          <w:b/>
          <w:color w:val="auto"/>
        </w:rPr>
        <w:t>202</w:t>
      </w:r>
      <w:r w:rsidR="00582CEA">
        <w:rPr>
          <w:b/>
          <w:color w:val="auto"/>
        </w:rPr>
        <w:t>5</w:t>
      </w:r>
      <w:r w:rsidRPr="00F70B88">
        <w:rPr>
          <w:b/>
          <w:color w:val="auto"/>
        </w:rPr>
        <w:t>/2</w:t>
      </w:r>
      <w:r w:rsidR="000E3F53">
        <w:rPr>
          <w:b/>
          <w:color w:val="auto"/>
        </w:rPr>
        <w:t>02</w:t>
      </w:r>
      <w:r w:rsidR="00582CEA">
        <w:rPr>
          <w:b/>
          <w:color w:val="auto"/>
        </w:rPr>
        <w:t>6</w:t>
      </w:r>
    </w:p>
    <w:p w14:paraId="21CFC212" w14:textId="3F724510" w:rsidR="002711AB" w:rsidRDefault="001471D2" w:rsidP="002B6836">
      <w:pPr>
        <w:pStyle w:val="ListParagraph"/>
      </w:pPr>
      <w:r w:rsidRPr="001471D2">
        <w:t>Appendices 1A – 1D set out the proposed nominations to charities, trusts, community associations and other organisations for 202</w:t>
      </w:r>
      <w:r>
        <w:t>5</w:t>
      </w:r>
      <w:r w:rsidRPr="001471D2">
        <w:t>/2</w:t>
      </w:r>
      <w:r w:rsidR="000E3F53">
        <w:t>02</w:t>
      </w:r>
      <w:r>
        <w:t>6</w:t>
      </w:r>
      <w:r w:rsidRPr="001471D2">
        <w:t>.</w:t>
      </w:r>
    </w:p>
    <w:p w14:paraId="266AA671" w14:textId="37F78E92" w:rsidR="0043463D" w:rsidRPr="0043463D" w:rsidRDefault="0016443E" w:rsidP="0043463D">
      <w:pPr>
        <w:pStyle w:val="ListParagraph"/>
        <w:rPr>
          <w:b/>
        </w:rPr>
      </w:pPr>
      <w:r w:rsidRPr="004961D4">
        <w:t>The Leader of the Council has proposed the following specific changes to the list of organisations for 202</w:t>
      </w:r>
      <w:r w:rsidR="003918C9">
        <w:t>5</w:t>
      </w:r>
      <w:r w:rsidRPr="004961D4">
        <w:t>/2</w:t>
      </w:r>
      <w:r w:rsidR="004F404B">
        <w:t>02</w:t>
      </w:r>
      <w:r w:rsidR="003918C9">
        <w:t>6</w:t>
      </w:r>
      <w:r w:rsidRPr="004961D4">
        <w:t xml:space="preserve">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998"/>
        <w:gridCol w:w="4536"/>
      </w:tblGrid>
      <w:tr w:rsidR="0043463D" w:rsidRPr="0043463D" w14:paraId="12C6BCD7" w14:textId="77777777" w:rsidTr="66DAE348">
        <w:tc>
          <w:tcPr>
            <w:tcW w:w="3998" w:type="dxa"/>
            <w:shd w:val="clear" w:color="auto" w:fill="D9D9D9" w:themeFill="background1" w:themeFillShade="D9"/>
          </w:tcPr>
          <w:p w14:paraId="64800B46" w14:textId="77777777" w:rsidR="0043463D" w:rsidRPr="0043463D" w:rsidRDefault="0043463D" w:rsidP="66DAE348">
            <w:pPr>
              <w:tabs>
                <w:tab w:val="left" w:pos="567"/>
              </w:tabs>
              <w:spacing w:before="120"/>
              <w:ind w:left="567" w:hanging="567"/>
              <w:jc w:val="both"/>
              <w:rPr>
                <w:b/>
                <w:bCs/>
                <w:color w:val="auto"/>
              </w:rPr>
            </w:pPr>
            <w:r w:rsidRPr="66DAE348">
              <w:rPr>
                <w:b/>
                <w:bCs/>
                <w:color w:val="auto"/>
              </w:rPr>
              <w:t>Outside Body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F3D6E8C" w14:textId="77777777" w:rsidR="0043463D" w:rsidRPr="0043463D" w:rsidRDefault="0043463D" w:rsidP="66DAE348">
            <w:pPr>
              <w:tabs>
                <w:tab w:val="left" w:pos="567"/>
              </w:tabs>
              <w:spacing w:before="120"/>
              <w:ind w:left="567" w:hanging="567"/>
              <w:jc w:val="both"/>
              <w:rPr>
                <w:b/>
                <w:bCs/>
                <w:color w:val="FF0000"/>
              </w:rPr>
            </w:pPr>
            <w:r w:rsidRPr="66DAE348">
              <w:rPr>
                <w:b/>
                <w:bCs/>
                <w:color w:val="auto"/>
              </w:rPr>
              <w:t>Decision</w:t>
            </w:r>
          </w:p>
        </w:tc>
      </w:tr>
      <w:tr w:rsidR="0043463D" w:rsidRPr="0043463D" w14:paraId="74EEBA7F" w14:textId="77777777" w:rsidTr="66DAE348">
        <w:tc>
          <w:tcPr>
            <w:tcW w:w="3998" w:type="dxa"/>
          </w:tcPr>
          <w:p w14:paraId="34C302DD" w14:textId="5D317FCD" w:rsidR="00E83D58" w:rsidRPr="00E83D58" w:rsidRDefault="00E83D58" w:rsidP="00E83D58">
            <w:pPr>
              <w:tabs>
                <w:tab w:val="left" w:pos="426"/>
              </w:tabs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Appendix 1B</w:t>
            </w:r>
          </w:p>
          <w:p w14:paraId="3DC11C1E" w14:textId="549D61EF" w:rsidR="0043463D" w:rsidRPr="0043463D" w:rsidRDefault="007C6EB1" w:rsidP="0043463D">
            <w:pPr>
              <w:numPr>
                <w:ilvl w:val="0"/>
                <w:numId w:val="38"/>
              </w:numPr>
              <w:tabs>
                <w:tab w:val="left" w:pos="426"/>
              </w:tabs>
              <w:spacing w:after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Citizen Advice Bureau</w:t>
            </w:r>
          </w:p>
        </w:tc>
        <w:tc>
          <w:tcPr>
            <w:tcW w:w="4536" w:type="dxa"/>
          </w:tcPr>
          <w:p w14:paraId="34607ED6" w14:textId="36CD4E3E" w:rsidR="0043463D" w:rsidRPr="0043463D" w:rsidRDefault="007C6EB1" w:rsidP="0043463D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Removed </w:t>
            </w:r>
            <w:r w:rsidR="008072BF">
              <w:rPr>
                <w:rFonts w:cs="Arial"/>
                <w:color w:val="auto"/>
              </w:rPr>
              <w:t>–</w:t>
            </w:r>
            <w:r>
              <w:rPr>
                <w:rFonts w:cs="Arial"/>
                <w:color w:val="auto"/>
              </w:rPr>
              <w:t xml:space="preserve"> </w:t>
            </w:r>
            <w:r w:rsidR="00C46CDD">
              <w:rPr>
                <w:rFonts w:cs="Arial"/>
                <w:color w:val="auto"/>
              </w:rPr>
              <w:t xml:space="preserve">now trading under </w:t>
            </w:r>
            <w:r w:rsidR="00C46CDD" w:rsidRPr="00C46CDD">
              <w:rPr>
                <w:rFonts w:cs="Arial"/>
                <w:color w:val="auto"/>
              </w:rPr>
              <w:t>Citizens Advice Oxfordshire</w:t>
            </w:r>
            <w:r w:rsidR="00C46CDD">
              <w:rPr>
                <w:rFonts w:cs="Arial"/>
                <w:color w:val="auto"/>
              </w:rPr>
              <w:t xml:space="preserve"> covering all of Oxfordshire</w:t>
            </w:r>
            <w:r w:rsidR="00E63593">
              <w:rPr>
                <w:rFonts w:cs="Arial"/>
                <w:color w:val="auto"/>
              </w:rPr>
              <w:t>, no requirement for appointments to their Board</w:t>
            </w:r>
            <w:r w:rsidR="008072BF">
              <w:rPr>
                <w:rFonts w:cs="Arial"/>
                <w:color w:val="auto"/>
              </w:rPr>
              <w:t xml:space="preserve"> </w:t>
            </w:r>
          </w:p>
        </w:tc>
      </w:tr>
      <w:tr w:rsidR="00B26754" w:rsidRPr="0043463D" w14:paraId="7CF0C235" w14:textId="77777777" w:rsidTr="66DAE348">
        <w:tc>
          <w:tcPr>
            <w:tcW w:w="3998" w:type="dxa"/>
          </w:tcPr>
          <w:p w14:paraId="750ABF5B" w14:textId="77777777" w:rsidR="00B26754" w:rsidRPr="0043463D" w:rsidRDefault="00B26754" w:rsidP="00B26754">
            <w:pPr>
              <w:spacing w:after="0"/>
              <w:rPr>
                <w:b/>
                <w:bCs/>
                <w:color w:val="auto"/>
              </w:rPr>
            </w:pPr>
            <w:r w:rsidRPr="0043463D">
              <w:rPr>
                <w:b/>
                <w:bCs/>
                <w:color w:val="auto"/>
              </w:rPr>
              <w:t>Appendix 1E</w:t>
            </w:r>
          </w:p>
          <w:p w14:paraId="7FD43084" w14:textId="77777777" w:rsidR="00B26754" w:rsidRPr="005F56B0" w:rsidRDefault="00B26754" w:rsidP="00B26754">
            <w:pPr>
              <w:pStyle w:val="ListParagraph"/>
              <w:numPr>
                <w:ilvl w:val="0"/>
                <w:numId w:val="38"/>
              </w:numPr>
              <w:spacing w:after="0"/>
              <w:rPr>
                <w:b/>
                <w:bCs/>
                <w:color w:val="auto"/>
              </w:rPr>
            </w:pPr>
            <w:r w:rsidRPr="00B26754">
              <w:rPr>
                <w:color w:val="auto"/>
              </w:rPr>
              <w:t>Future Oxfordshire Partnership Scrutiny Meeting</w:t>
            </w:r>
          </w:p>
          <w:p w14:paraId="7D9F8B75" w14:textId="77777777" w:rsidR="005F56B0" w:rsidRPr="005F56B0" w:rsidRDefault="005F56B0" w:rsidP="00B26754">
            <w:pPr>
              <w:pStyle w:val="ListParagraph"/>
              <w:numPr>
                <w:ilvl w:val="0"/>
                <w:numId w:val="38"/>
              </w:numPr>
              <w:spacing w:after="0"/>
              <w:rPr>
                <w:b/>
                <w:bCs/>
                <w:color w:val="auto"/>
              </w:rPr>
            </w:pPr>
            <w:r w:rsidRPr="005A7287">
              <w:rPr>
                <w:rFonts w:cs="Arial"/>
              </w:rPr>
              <w:t>Infrastructure Advisory Sub-Group</w:t>
            </w:r>
          </w:p>
          <w:p w14:paraId="3CE1AE23" w14:textId="77777777" w:rsidR="005F56B0" w:rsidRPr="005F56B0" w:rsidRDefault="005F56B0" w:rsidP="00B26754">
            <w:pPr>
              <w:pStyle w:val="ListParagraph"/>
              <w:numPr>
                <w:ilvl w:val="0"/>
                <w:numId w:val="38"/>
              </w:numPr>
              <w:spacing w:after="0"/>
              <w:rPr>
                <w:b/>
                <w:bCs/>
                <w:color w:val="auto"/>
              </w:rPr>
            </w:pPr>
            <w:r w:rsidRPr="005A7287">
              <w:rPr>
                <w:rFonts w:cs="Arial"/>
              </w:rPr>
              <w:t>Planning Advisory Sub-Group</w:t>
            </w:r>
          </w:p>
          <w:p w14:paraId="0EB0B319" w14:textId="77777777" w:rsidR="00902675" w:rsidRDefault="005F56B0" w:rsidP="00902675">
            <w:pPr>
              <w:pStyle w:val="ListParagraph"/>
              <w:numPr>
                <w:ilvl w:val="0"/>
                <w:numId w:val="38"/>
              </w:numPr>
              <w:spacing w:after="0"/>
              <w:rPr>
                <w:i/>
              </w:rPr>
            </w:pPr>
            <w:r w:rsidRPr="005A7287">
              <w:rPr>
                <w:rFonts w:cs="Arial"/>
              </w:rPr>
              <w:t xml:space="preserve">Housing Advisory Sub-Group </w:t>
            </w:r>
            <w:r w:rsidRPr="005A7287">
              <w:rPr>
                <w:i/>
              </w:rPr>
              <w:t xml:space="preserve"> </w:t>
            </w:r>
          </w:p>
          <w:p w14:paraId="5FAEA79B" w14:textId="6DCA8DD9" w:rsidR="005F56B0" w:rsidRPr="00902675" w:rsidRDefault="005F56B0" w:rsidP="00902675">
            <w:pPr>
              <w:pStyle w:val="ListParagraph"/>
              <w:numPr>
                <w:ilvl w:val="0"/>
                <w:numId w:val="38"/>
              </w:numPr>
              <w:spacing w:after="0"/>
              <w:rPr>
                <w:i/>
              </w:rPr>
            </w:pPr>
            <w:r w:rsidRPr="00902675">
              <w:rPr>
                <w:rFonts w:cs="Arial"/>
              </w:rPr>
              <w:t>Environment Advisory Sub-Group</w:t>
            </w:r>
          </w:p>
        </w:tc>
        <w:tc>
          <w:tcPr>
            <w:tcW w:w="4536" w:type="dxa"/>
          </w:tcPr>
          <w:p w14:paraId="4A60C19F" w14:textId="3A3B8E9D" w:rsidR="00B26754" w:rsidRDefault="00B26754" w:rsidP="00B26754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Removed – future meetings have been cancelled following the update to t</w:t>
            </w:r>
            <w:r w:rsidRPr="00DF2C43">
              <w:rPr>
                <w:rFonts w:cs="Arial"/>
                <w:color w:val="auto"/>
              </w:rPr>
              <w:t xml:space="preserve">he Oxfordshire Joint Leaders Committee </w:t>
            </w:r>
            <w:r>
              <w:rPr>
                <w:rFonts w:cs="Arial"/>
                <w:color w:val="auto"/>
              </w:rPr>
              <w:t>Terms of Reference (formally Future Oxfordshire Partnership)</w:t>
            </w:r>
          </w:p>
        </w:tc>
      </w:tr>
      <w:tr w:rsidR="00DE601A" w:rsidRPr="0043463D" w14:paraId="54240B86" w14:textId="77777777" w:rsidTr="66DAE348">
        <w:tc>
          <w:tcPr>
            <w:tcW w:w="3998" w:type="dxa"/>
          </w:tcPr>
          <w:p w14:paraId="70D7892D" w14:textId="77777777" w:rsidR="00DE601A" w:rsidRPr="0043463D" w:rsidRDefault="00DE601A" w:rsidP="00DE601A">
            <w:pPr>
              <w:spacing w:after="0"/>
              <w:rPr>
                <w:b/>
                <w:bCs/>
                <w:color w:val="auto"/>
              </w:rPr>
            </w:pPr>
            <w:r w:rsidRPr="0043463D">
              <w:rPr>
                <w:b/>
                <w:bCs/>
                <w:color w:val="auto"/>
              </w:rPr>
              <w:t>Appendix 1E</w:t>
            </w:r>
          </w:p>
          <w:p w14:paraId="1B04DC46" w14:textId="56F3AA77" w:rsidR="00DE601A" w:rsidRPr="00DE601A" w:rsidRDefault="00935F17" w:rsidP="00B26754">
            <w:pPr>
              <w:pStyle w:val="ListParagraph"/>
              <w:numPr>
                <w:ilvl w:val="0"/>
                <w:numId w:val="38"/>
              </w:numPr>
              <w:spacing w:after="0"/>
              <w:rPr>
                <w:b/>
                <w:bCs/>
                <w:color w:val="auto"/>
              </w:rPr>
            </w:pPr>
            <w:r w:rsidRPr="00902675">
              <w:rPr>
                <w:rFonts w:cs="Arial"/>
              </w:rPr>
              <w:t>The Oxfordshire Local Enterprise Partnership (</w:t>
            </w:r>
            <w:proofErr w:type="spellStart"/>
            <w:r w:rsidRPr="00902675">
              <w:rPr>
                <w:rFonts w:cs="Arial"/>
              </w:rPr>
              <w:t>OxLEP</w:t>
            </w:r>
            <w:proofErr w:type="spellEnd"/>
            <w:r w:rsidRPr="00902675">
              <w:rPr>
                <w:rFonts w:cs="Arial"/>
              </w:rPr>
              <w:t>)</w:t>
            </w:r>
          </w:p>
        </w:tc>
        <w:tc>
          <w:tcPr>
            <w:tcW w:w="4536" w:type="dxa"/>
          </w:tcPr>
          <w:p w14:paraId="2483175D" w14:textId="6AA539E1" w:rsidR="00DE601A" w:rsidRDefault="00E026D1" w:rsidP="00B26754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Removed </w:t>
            </w:r>
            <w:r w:rsidR="00AA77C2">
              <w:rPr>
                <w:rFonts w:cs="Arial"/>
                <w:color w:val="auto"/>
              </w:rPr>
              <w:t>–</w:t>
            </w:r>
            <w:r>
              <w:rPr>
                <w:rFonts w:cs="Arial"/>
                <w:color w:val="auto"/>
              </w:rPr>
              <w:t xml:space="preserve"> </w:t>
            </w:r>
            <w:r w:rsidR="00AA77C2">
              <w:rPr>
                <w:rFonts w:cs="Arial"/>
                <w:color w:val="auto"/>
              </w:rPr>
              <w:t>Now trading as</w:t>
            </w:r>
            <w:r w:rsidR="005705FC" w:rsidRPr="005705FC">
              <w:rPr>
                <w:rFonts w:cs="Arial"/>
                <w:color w:val="auto"/>
              </w:rPr>
              <w:t xml:space="preserve"> Enterprise Oxfordshire </w:t>
            </w:r>
            <w:r w:rsidR="005705FC">
              <w:rPr>
                <w:rFonts w:cs="Arial"/>
                <w:color w:val="auto"/>
              </w:rPr>
              <w:t>from April 2025</w:t>
            </w:r>
          </w:p>
        </w:tc>
      </w:tr>
      <w:tr w:rsidR="00DE601A" w:rsidRPr="0043463D" w14:paraId="0B2439C1" w14:textId="77777777" w:rsidTr="00DE601A">
        <w:trPr>
          <w:trHeight w:val="159"/>
        </w:trPr>
        <w:tc>
          <w:tcPr>
            <w:tcW w:w="3998" w:type="dxa"/>
          </w:tcPr>
          <w:p w14:paraId="4E458A41" w14:textId="77777777" w:rsidR="00DE601A" w:rsidRPr="0043463D" w:rsidRDefault="00DE601A" w:rsidP="00DE601A">
            <w:pPr>
              <w:spacing w:after="0"/>
              <w:rPr>
                <w:b/>
                <w:bCs/>
                <w:color w:val="auto"/>
              </w:rPr>
            </w:pPr>
            <w:r w:rsidRPr="0043463D">
              <w:rPr>
                <w:b/>
                <w:bCs/>
                <w:color w:val="auto"/>
              </w:rPr>
              <w:t>Appendix 1E</w:t>
            </w:r>
          </w:p>
          <w:p w14:paraId="26FEFB89" w14:textId="13E918F0" w:rsidR="00DE601A" w:rsidRPr="00DE601A" w:rsidRDefault="00902675" w:rsidP="00B26754">
            <w:pPr>
              <w:pStyle w:val="ListParagraph"/>
              <w:numPr>
                <w:ilvl w:val="0"/>
                <w:numId w:val="38"/>
              </w:numPr>
              <w:spacing w:after="0"/>
              <w:rPr>
                <w:b/>
                <w:bCs/>
                <w:color w:val="auto"/>
              </w:rPr>
            </w:pPr>
            <w:r w:rsidRPr="00902675">
              <w:rPr>
                <w:rFonts w:cs="Arial"/>
              </w:rPr>
              <w:t>Ox-Cam Pan Regional Partnership</w:t>
            </w:r>
          </w:p>
        </w:tc>
        <w:tc>
          <w:tcPr>
            <w:tcW w:w="4536" w:type="dxa"/>
          </w:tcPr>
          <w:p w14:paraId="1F04830D" w14:textId="11F8C010" w:rsidR="00DE601A" w:rsidRDefault="00644C6C" w:rsidP="00B26754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Removed </w:t>
            </w:r>
            <w:r w:rsidR="00510212">
              <w:rPr>
                <w:rFonts w:cs="Arial"/>
                <w:color w:val="auto"/>
              </w:rPr>
              <w:t xml:space="preserve">– organisation </w:t>
            </w:r>
            <w:r w:rsidR="00D30025">
              <w:rPr>
                <w:rFonts w:cs="Arial"/>
                <w:color w:val="auto"/>
              </w:rPr>
              <w:t>closed in May 2025</w:t>
            </w:r>
          </w:p>
        </w:tc>
      </w:tr>
    </w:tbl>
    <w:p w14:paraId="0021E387" w14:textId="77777777" w:rsidR="000E3F53" w:rsidRDefault="000E3F53" w:rsidP="003918C9"/>
    <w:p w14:paraId="11308776" w14:textId="150DD991" w:rsidR="0040736F" w:rsidRPr="002B6836" w:rsidRDefault="002329CF" w:rsidP="002B6836">
      <w:pPr>
        <w:pStyle w:val="Heading1"/>
      </w:pPr>
      <w:r w:rsidRPr="002B6836">
        <w:t xml:space="preserve">Financial </w:t>
      </w:r>
      <w:r w:rsidR="00A004D0">
        <w:t>I</w:t>
      </w:r>
      <w:r w:rsidRPr="002B6836">
        <w:t>mplications</w:t>
      </w:r>
    </w:p>
    <w:p w14:paraId="41F1DED0" w14:textId="77777777" w:rsidR="00A004D0" w:rsidRPr="00A004D0" w:rsidRDefault="00A004D0" w:rsidP="00A004D0">
      <w:pPr>
        <w:pStyle w:val="Heading1"/>
        <w:numPr>
          <w:ilvl w:val="0"/>
          <w:numId w:val="14"/>
        </w:numPr>
        <w:rPr>
          <w:b w:val="0"/>
          <w:bCs/>
        </w:rPr>
      </w:pPr>
      <w:r w:rsidRPr="00A004D0">
        <w:rPr>
          <w:b w:val="0"/>
          <w:bCs/>
        </w:rPr>
        <w:t xml:space="preserve">The appointments proposed in this report have no direct financial implications for the Council.  </w:t>
      </w:r>
    </w:p>
    <w:p w14:paraId="06827778" w14:textId="3B253F08" w:rsidR="0040736F" w:rsidRPr="001356F1" w:rsidRDefault="00DA614B" w:rsidP="004A6D2F">
      <w:pPr>
        <w:pStyle w:val="Heading1"/>
      </w:pPr>
      <w:r w:rsidRPr="001356F1">
        <w:lastRenderedPageBreak/>
        <w:t xml:space="preserve">Legal </w:t>
      </w:r>
      <w:r w:rsidR="00A004D0">
        <w:t>I</w:t>
      </w:r>
      <w:r w:rsidRPr="001356F1">
        <w:t>ssues</w:t>
      </w:r>
    </w:p>
    <w:p w14:paraId="59E34F9E" w14:textId="11F7C68D" w:rsidR="007276F5" w:rsidRPr="007276F5" w:rsidRDefault="007276F5" w:rsidP="007276F5">
      <w:pPr>
        <w:pStyle w:val="Heading1"/>
        <w:numPr>
          <w:ilvl w:val="0"/>
          <w:numId w:val="14"/>
        </w:numPr>
        <w:rPr>
          <w:b w:val="0"/>
          <w:bCs/>
        </w:rPr>
      </w:pPr>
      <w:r w:rsidRPr="007276F5">
        <w:rPr>
          <w:b w:val="0"/>
          <w:bCs/>
        </w:rPr>
        <w:t xml:space="preserve">Representation on outside organisations presents legal implications for the Council if the roles and responsibilities of those involved are not </w:t>
      </w:r>
      <w:r w:rsidR="004F0075">
        <w:rPr>
          <w:b w:val="0"/>
          <w:bCs/>
        </w:rPr>
        <w:t xml:space="preserve">clearly </w:t>
      </w:r>
      <w:r w:rsidRPr="007276F5">
        <w:rPr>
          <w:b w:val="0"/>
          <w:bCs/>
        </w:rPr>
        <w:t>defined. Council representatives are provided with detailed written guidance on their roles and responsibilities (Appendix 2).</w:t>
      </w:r>
    </w:p>
    <w:p w14:paraId="39265579" w14:textId="2100D5B2" w:rsidR="002329CF" w:rsidRPr="001356F1" w:rsidRDefault="002329CF" w:rsidP="004A6D2F">
      <w:pPr>
        <w:pStyle w:val="Heading1"/>
      </w:pPr>
      <w:r w:rsidRPr="001356F1">
        <w:t xml:space="preserve">Level of </w:t>
      </w:r>
      <w:r w:rsidR="00FA42AB">
        <w:t>R</w:t>
      </w:r>
      <w:r w:rsidRPr="001356F1">
        <w:t>isk</w:t>
      </w:r>
    </w:p>
    <w:p w14:paraId="107F8504" w14:textId="0A1FF557" w:rsidR="00BF18FB" w:rsidRPr="00BF18FB" w:rsidRDefault="00BF18FB" w:rsidP="00BF18FB">
      <w:pPr>
        <w:pStyle w:val="Heading1"/>
        <w:numPr>
          <w:ilvl w:val="0"/>
          <w:numId w:val="14"/>
        </w:numPr>
        <w:rPr>
          <w:b w:val="0"/>
          <w:bCs/>
        </w:rPr>
      </w:pPr>
      <w:r w:rsidRPr="00BF18FB">
        <w:rPr>
          <w:b w:val="0"/>
          <w:bCs/>
        </w:rPr>
        <w:t>Representation on outside organisations should benefit both the Council and the organisation concerned. There is a risk that such benefit may be lost to either or both parties if representation is withdrawn or inadequately resourced or briefed.</w:t>
      </w:r>
    </w:p>
    <w:p w14:paraId="2399E607" w14:textId="4BE0EB3C" w:rsidR="002329CF" w:rsidRPr="001356F1" w:rsidRDefault="002329CF" w:rsidP="0050321C">
      <w:pPr>
        <w:pStyle w:val="Heading1"/>
      </w:pPr>
      <w:r w:rsidRPr="001356F1">
        <w:t xml:space="preserve">Equalities </w:t>
      </w:r>
      <w:r w:rsidR="00B84C57">
        <w:t>I</w:t>
      </w:r>
      <w:r w:rsidRPr="001356F1">
        <w:t xml:space="preserve">mpact </w:t>
      </w:r>
    </w:p>
    <w:p w14:paraId="1C3EE284" w14:textId="1CEB6C3B" w:rsidR="00E206D6" w:rsidRPr="001356F1" w:rsidRDefault="00FA42AB" w:rsidP="00FA42AB">
      <w:pPr>
        <w:pStyle w:val="bParagraphtext"/>
      </w:pPr>
      <w:r w:rsidRPr="00FA42AB">
        <w:t xml:space="preserve">An Equalities Impact Assessment is not required. The Council seeks to appoint nominees that represent as far as possible the diverse nature of the </w:t>
      </w:r>
      <w:r w:rsidR="008F6FF8">
        <w:t>o</w:t>
      </w:r>
      <w:r w:rsidRPr="00FA42AB">
        <w:t xml:space="preserve">utside </w:t>
      </w:r>
      <w:r w:rsidR="008F6FF8">
        <w:t>b</w:t>
      </w:r>
      <w:r w:rsidRPr="00FA42AB">
        <w:t>odies and the communities that they serve.</w:t>
      </w:r>
    </w:p>
    <w:p w14:paraId="3384B174" w14:textId="77777777" w:rsidR="002329CF" w:rsidRPr="001356F1" w:rsidRDefault="002329CF" w:rsidP="004A6D2F"/>
    <w:tbl>
      <w:tblPr>
        <w:tblW w:w="0" w:type="auto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4B40AD" w:rsidRPr="001356F1" w14:paraId="0FA94296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987E45" w14:textId="77777777" w:rsidR="004B40AD" w:rsidRPr="001356F1" w:rsidRDefault="004B40AD" w:rsidP="004B40AD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0C959" w14:textId="5C288511" w:rsidR="004B40AD" w:rsidRPr="001356F1" w:rsidRDefault="004B40AD" w:rsidP="004B40AD">
            <w:r w:rsidRPr="00236841">
              <w:t>Jonathan Malton</w:t>
            </w:r>
          </w:p>
        </w:tc>
      </w:tr>
      <w:tr w:rsidR="004B40AD" w:rsidRPr="001356F1" w14:paraId="07A5B9C2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6B6C3381" w14:textId="77777777" w:rsidR="004B40AD" w:rsidRPr="001356F1" w:rsidRDefault="004B40AD" w:rsidP="004B40AD">
            <w:r w:rsidRPr="001356F1">
              <w:t>Job title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100D2DA" w14:textId="39664AA7" w:rsidR="004B40AD" w:rsidRPr="001356F1" w:rsidRDefault="004B40AD" w:rsidP="004B40AD">
            <w:r w:rsidRPr="00236841">
              <w:t>Committee and Member Services Manager</w:t>
            </w:r>
          </w:p>
        </w:tc>
      </w:tr>
      <w:tr w:rsidR="004B40AD" w:rsidRPr="001356F1" w14:paraId="6DEB5543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BD402AB" w14:textId="77777777" w:rsidR="004B40AD" w:rsidRPr="001356F1" w:rsidRDefault="004B40AD" w:rsidP="004B40AD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F7746FF" w14:textId="61A1F794" w:rsidR="004B40AD" w:rsidRPr="001356F1" w:rsidRDefault="004B40AD" w:rsidP="004B40AD">
            <w:r w:rsidRPr="00236841">
              <w:t>Law, Governance and Strategy</w:t>
            </w:r>
          </w:p>
        </w:tc>
      </w:tr>
      <w:tr w:rsidR="004B40AD" w:rsidRPr="001356F1" w14:paraId="572FB489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832E71E" w14:textId="77777777" w:rsidR="004B40AD" w:rsidRPr="001356F1" w:rsidRDefault="004B40AD" w:rsidP="004B40AD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3D96CCC" w14:textId="334A2DFC" w:rsidR="004B40AD" w:rsidRPr="001356F1" w:rsidRDefault="004B40AD" w:rsidP="004B40AD">
            <w:r w:rsidRPr="00236841">
              <w:t xml:space="preserve">01865 602767 </w:t>
            </w:r>
          </w:p>
        </w:tc>
      </w:tr>
      <w:tr w:rsidR="004B40AD" w:rsidRPr="001356F1" w14:paraId="40AEFD69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C2DD139" w14:textId="77777777" w:rsidR="004B40AD" w:rsidRPr="001356F1" w:rsidRDefault="004B40AD" w:rsidP="004B40AD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04F4C" w14:textId="40454C32" w:rsidR="004B40AD" w:rsidRPr="001356F1" w:rsidRDefault="00D90717" w:rsidP="004B40AD">
            <w:pPr>
              <w:rPr>
                <w:rStyle w:val="Hyperlink"/>
                <w:color w:val="000000"/>
              </w:rPr>
            </w:pPr>
            <w:hyperlink r:id="rId8" w:history="1">
              <w:r w:rsidR="004B40AD" w:rsidRPr="007E5B01">
                <w:rPr>
                  <w:rStyle w:val="Hyperlink"/>
                </w:rPr>
                <w:t>jmalton@oxford.gov.uk</w:t>
              </w:r>
            </w:hyperlink>
          </w:p>
        </w:tc>
      </w:tr>
    </w:tbl>
    <w:p w14:paraId="143C8714" w14:textId="77777777" w:rsidR="00433B96" w:rsidRPr="001356F1" w:rsidRDefault="00433B96" w:rsidP="004A6D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364"/>
      </w:tblGrid>
      <w:tr w:rsidR="00DF093E" w:rsidRPr="001356F1" w14:paraId="12CCF8EE" w14:textId="77777777" w:rsidTr="62B73EE3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7116CD40" w14:textId="7F160D2C" w:rsidR="0093067A" w:rsidRPr="007A08DB" w:rsidRDefault="282C914F" w:rsidP="007A08DB">
            <w:r w:rsidRPr="62B73EE3">
              <w:rPr>
                <w:rStyle w:val="Firstpagetablebold"/>
              </w:rPr>
              <w:t>Background Papers:</w:t>
            </w:r>
          </w:p>
        </w:tc>
      </w:tr>
      <w:tr w:rsidR="00AD34F6" w:rsidRPr="001356F1" w14:paraId="4B513816" w14:textId="77777777" w:rsidTr="62B73EE3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5C766C7F" w14:textId="77777777" w:rsidR="00AD34F6" w:rsidRPr="001356F1" w:rsidRDefault="00AD34F6" w:rsidP="00AD34F6">
            <w:r w:rsidRPr="001356F1">
              <w:t>1</w:t>
            </w:r>
          </w:p>
        </w:tc>
        <w:tc>
          <w:tcPr>
            <w:tcW w:w="836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462D1A28" w14:textId="62DFA780" w:rsidR="00AD34F6" w:rsidRPr="00973924" w:rsidRDefault="00D90717" w:rsidP="00AD34F6">
            <w:hyperlink r:id="rId9" w:history="1">
              <w:r w:rsidR="00AD34F6" w:rsidRPr="00973924">
                <w:rPr>
                  <w:rStyle w:val="Hyperlink"/>
                </w:rPr>
                <w:t>Companies House - GOV.UK (www.gov.uk)</w:t>
              </w:r>
            </w:hyperlink>
          </w:p>
        </w:tc>
      </w:tr>
      <w:tr w:rsidR="00AD34F6" w:rsidRPr="001356F1" w14:paraId="6C6E75FA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05E18FBE" w14:textId="77777777" w:rsidR="00AD34F6" w:rsidRPr="001356F1" w:rsidRDefault="00AD34F6" w:rsidP="00AD34F6">
            <w:r w:rsidRPr="001356F1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9542725" w14:textId="3929BFA1" w:rsidR="00AD34F6" w:rsidRPr="00973924" w:rsidRDefault="00D90717" w:rsidP="00AD34F6">
            <w:hyperlink r:id="rId10" w:history="1">
              <w:r w:rsidR="00AD34F6" w:rsidRPr="00973924">
                <w:rPr>
                  <w:rStyle w:val="Hyperlink"/>
                </w:rPr>
                <w:t>Being a company director - GOV.UK (www.gov.uk)</w:t>
              </w:r>
            </w:hyperlink>
          </w:p>
        </w:tc>
      </w:tr>
      <w:tr w:rsidR="00AD34F6" w:rsidRPr="001356F1" w14:paraId="1AC735B5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64B0F938" w14:textId="77777777" w:rsidR="00AD34F6" w:rsidRPr="001356F1" w:rsidRDefault="00AD34F6" w:rsidP="00AD34F6">
            <w:r w:rsidRPr="001356F1"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7455CDDB" w14:textId="11A94D12" w:rsidR="00AD34F6" w:rsidRPr="00973924" w:rsidRDefault="00D90717" w:rsidP="00AD34F6">
            <w:hyperlink r:id="rId11" w:history="1">
              <w:r w:rsidR="00AD34F6" w:rsidRPr="00973924">
                <w:rPr>
                  <w:rStyle w:val="Hyperlink"/>
                </w:rPr>
                <w:t xml:space="preserve">Directors’ duties and responsibilities | Factsheets | </w:t>
              </w:r>
              <w:proofErr w:type="spellStart"/>
              <w:r w:rsidR="00AD34F6" w:rsidRPr="00973924">
                <w:rPr>
                  <w:rStyle w:val="Hyperlink"/>
                </w:rPr>
                <w:t>IoD</w:t>
              </w:r>
              <w:proofErr w:type="spellEnd"/>
            </w:hyperlink>
          </w:p>
        </w:tc>
      </w:tr>
      <w:tr w:rsidR="00AD34F6" w:rsidRPr="001356F1" w14:paraId="42646BC3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5840B245" w14:textId="2186E132" w:rsidR="00AD34F6" w:rsidRPr="001356F1" w:rsidRDefault="00AD34F6" w:rsidP="00AD34F6">
            <w: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503EB3D" w14:textId="26FE6D41" w:rsidR="00AD34F6" w:rsidRPr="00973924" w:rsidRDefault="00D90717" w:rsidP="00AD34F6">
            <w:hyperlink r:id="rId12" w:history="1">
              <w:r w:rsidR="00AD34F6" w:rsidRPr="00973924">
                <w:rPr>
                  <w:rStyle w:val="Hyperlink"/>
                </w:rPr>
                <w:t>7 duties of a company director – Companies House (blog.gov.uk)</w:t>
              </w:r>
            </w:hyperlink>
          </w:p>
        </w:tc>
      </w:tr>
      <w:tr w:rsidR="007E62D7" w:rsidRPr="001356F1" w14:paraId="47326BA5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741337E1" w14:textId="4E7A0E55" w:rsidR="007E62D7" w:rsidRPr="001356F1" w:rsidRDefault="007E62D7" w:rsidP="007E62D7">
            <w: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2053BACF" w14:textId="725EE238" w:rsidR="007E62D7" w:rsidRPr="00973924" w:rsidRDefault="00D90717" w:rsidP="007E62D7">
            <w:hyperlink r:id="rId13" w:history="1">
              <w:r w:rsidR="007E62D7" w:rsidRPr="00973924">
                <w:rPr>
                  <w:rStyle w:val="Hyperlink"/>
                </w:rPr>
                <w:t>The Charity Commission - GOV.UK (www.gov.uk)</w:t>
              </w:r>
            </w:hyperlink>
          </w:p>
        </w:tc>
      </w:tr>
      <w:tr w:rsidR="007E62D7" w:rsidRPr="001356F1" w14:paraId="1625C8C8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2893A6CA" w14:textId="3B84C48C" w:rsidR="007E62D7" w:rsidRPr="001356F1" w:rsidRDefault="007E62D7" w:rsidP="007E62D7">
            <w:r>
              <w:t>6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37261FC" w14:textId="3D1976C1" w:rsidR="007E62D7" w:rsidRPr="00973924" w:rsidRDefault="00D90717" w:rsidP="007E62D7">
            <w:hyperlink r:id="rId14" w:history="1">
              <w:r w:rsidR="007E62D7" w:rsidRPr="00973924">
                <w:rPr>
                  <w:rStyle w:val="Hyperlink"/>
                </w:rPr>
                <w:t>The essential trustee: what you need to know, what you need to do - GOV.UK (www.gov.uk)</w:t>
              </w:r>
            </w:hyperlink>
          </w:p>
        </w:tc>
      </w:tr>
      <w:tr w:rsidR="007E62D7" w:rsidRPr="001356F1" w14:paraId="10AF5629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08545BE0" w14:textId="6F74F763" w:rsidR="007E62D7" w:rsidRPr="001356F1" w:rsidRDefault="007E62D7" w:rsidP="007E62D7">
            <w:r>
              <w:t>7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27555BCC" w14:textId="14EDA00F" w:rsidR="007E62D7" w:rsidRPr="00973924" w:rsidRDefault="00D90717" w:rsidP="007E62D7">
            <w:hyperlink r:id="rId15" w:history="1">
              <w:r w:rsidR="007E62D7" w:rsidRPr="00973924">
                <w:rPr>
                  <w:rStyle w:val="Hyperlink"/>
                </w:rPr>
                <w:t>Charity trustee: what’s involved (CC3a) - GOV.UK (www.gov.uk)</w:t>
              </w:r>
            </w:hyperlink>
          </w:p>
        </w:tc>
      </w:tr>
      <w:tr w:rsidR="007E62D7" w:rsidRPr="001356F1" w14:paraId="790ED16C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</w:tcPr>
          <w:p w14:paraId="07F1C035" w14:textId="4885159E" w:rsidR="007E62D7" w:rsidRDefault="007E62D7" w:rsidP="007E62D7">
            <w:r>
              <w:t>8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6067615B" w14:textId="7B222009" w:rsidR="007E62D7" w:rsidRPr="00973924" w:rsidRDefault="00D90717" w:rsidP="007E62D7">
            <w:hyperlink r:id="rId16" w:history="1">
              <w:r w:rsidR="007E62D7" w:rsidRPr="00973924">
                <w:rPr>
                  <w:rStyle w:val="Hyperlink"/>
                </w:rPr>
                <w:t>Charity types: how to choose a structure (CC22a) - GOV.UK (www.gov.uk)</w:t>
              </w:r>
            </w:hyperlink>
          </w:p>
        </w:tc>
      </w:tr>
      <w:tr w:rsidR="005570B5" w:rsidRPr="00A46E98" w14:paraId="0EFBD437" w14:textId="77777777" w:rsidTr="62B73EE3">
        <w:tc>
          <w:tcPr>
            <w:tcW w:w="5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</w:tcPr>
          <w:p w14:paraId="67643100" w14:textId="40DEECC3" w:rsidR="0093067A" w:rsidRPr="00A46E98" w:rsidRDefault="008D748A" w:rsidP="00F41AC1">
            <w:r>
              <w:t>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9B8BB73" w14:textId="6BCEC912" w:rsidR="0093067A" w:rsidRPr="00973924" w:rsidRDefault="00D90717" w:rsidP="00CB5303">
            <w:pPr>
              <w:pStyle w:val="Default"/>
              <w:rPr>
                <w:b/>
                <w:bCs/>
              </w:rPr>
            </w:pPr>
            <w:hyperlink r:id="rId17" w:history="1">
              <w:r w:rsidR="00CB5303" w:rsidRPr="00973924">
                <w:rPr>
                  <w:rStyle w:val="Hyperlink"/>
                </w:rPr>
                <w:t>Unincorporated associations - GOV.UK (www.gov.uk)</w:t>
              </w:r>
            </w:hyperlink>
          </w:p>
        </w:tc>
      </w:tr>
    </w:tbl>
    <w:p w14:paraId="1FE671BD" w14:textId="77777777" w:rsidR="004456DD" w:rsidRPr="009E51FC" w:rsidRDefault="004456DD" w:rsidP="0093067A"/>
    <w:sectPr w:rsidR="004456DD" w:rsidRPr="009E51FC" w:rsidSect="002B6836">
      <w:footerReference w:type="even" r:id="rId18"/>
      <w:headerReference w:type="first" r:id="rId19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CC8" w14:textId="77777777" w:rsidR="00F16BC0" w:rsidRDefault="00F16BC0" w:rsidP="004A6D2F">
      <w:r>
        <w:separator/>
      </w:r>
    </w:p>
  </w:endnote>
  <w:endnote w:type="continuationSeparator" w:id="0">
    <w:p w14:paraId="60192D42" w14:textId="77777777" w:rsidR="00F16BC0" w:rsidRDefault="00F16BC0" w:rsidP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7B8B" w14:textId="77777777" w:rsidR="00364FAD" w:rsidRDefault="00364FAD" w:rsidP="004A6D2F">
    <w:pPr>
      <w:pStyle w:val="Footer"/>
    </w:pPr>
    <w:r>
      <w:t>Do not use a footer or page numbers.</w:t>
    </w:r>
  </w:p>
  <w:p w14:paraId="20B2461C" w14:textId="77777777" w:rsidR="00364FAD" w:rsidRDefault="00364FAD" w:rsidP="004A6D2F">
    <w:pPr>
      <w:pStyle w:val="Footer"/>
    </w:pPr>
  </w:p>
  <w:p w14:paraId="72386601" w14:textId="77777777" w:rsidR="00364FAD" w:rsidRDefault="00364FAD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1D5E" w14:textId="77777777" w:rsidR="00F16BC0" w:rsidRDefault="00F16BC0" w:rsidP="004A6D2F">
      <w:r>
        <w:separator/>
      </w:r>
    </w:p>
  </w:footnote>
  <w:footnote w:type="continuationSeparator" w:id="0">
    <w:p w14:paraId="53CE1336" w14:textId="77777777" w:rsidR="00F16BC0" w:rsidRDefault="00F16BC0" w:rsidP="004A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1F7F" w14:textId="77777777" w:rsidR="00D5547E" w:rsidRDefault="00C05260" w:rsidP="00D5547E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63A6A"/>
    <w:multiLevelType w:val="multilevel"/>
    <w:tmpl w:val="43D6D2FA"/>
    <w:numStyleLink w:val="StyleBulletedSymbolsymbolLeft063cmHanging063cm"/>
  </w:abstractNum>
  <w:abstractNum w:abstractNumId="18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7202D"/>
    <w:multiLevelType w:val="hybridMultilevel"/>
    <w:tmpl w:val="0A023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136C6"/>
    <w:multiLevelType w:val="hybridMultilevel"/>
    <w:tmpl w:val="3B54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5FD8"/>
    <w:multiLevelType w:val="multilevel"/>
    <w:tmpl w:val="43D6D2FA"/>
    <w:numStyleLink w:val="StyleBulletedSymbolsymbolLeft063cmHanging063cm"/>
  </w:abstractNum>
  <w:abstractNum w:abstractNumId="31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2831"/>
    <w:multiLevelType w:val="multilevel"/>
    <w:tmpl w:val="43D6D2FA"/>
    <w:numStyleLink w:val="StyleBulletedSymbolsymbolLeft063cmHanging063cm"/>
  </w:abstractNum>
  <w:abstractNum w:abstractNumId="3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365C6"/>
    <w:multiLevelType w:val="multilevel"/>
    <w:tmpl w:val="E8688C9E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b w:val="0"/>
        <w:bC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299310">
    <w:abstractNumId w:val="28"/>
  </w:num>
  <w:num w:numId="2" w16cid:durableId="643705505">
    <w:abstractNumId w:val="34"/>
  </w:num>
  <w:num w:numId="3" w16cid:durableId="1284848424">
    <w:abstractNumId w:val="25"/>
  </w:num>
  <w:num w:numId="4" w16cid:durableId="578908713">
    <w:abstractNumId w:val="18"/>
  </w:num>
  <w:num w:numId="5" w16cid:durableId="54470100">
    <w:abstractNumId w:val="31"/>
  </w:num>
  <w:num w:numId="6" w16cid:durableId="694158268">
    <w:abstractNumId w:val="36"/>
  </w:num>
  <w:num w:numId="7" w16cid:durableId="647516062">
    <w:abstractNumId w:val="24"/>
  </w:num>
  <w:num w:numId="8" w16cid:durableId="1160539719">
    <w:abstractNumId w:val="21"/>
  </w:num>
  <w:num w:numId="9" w16cid:durableId="1862670074">
    <w:abstractNumId w:val="13"/>
  </w:num>
  <w:num w:numId="10" w16cid:durableId="948585193">
    <w:abstractNumId w:val="15"/>
  </w:num>
  <w:num w:numId="11" w16cid:durableId="718482766">
    <w:abstractNumId w:val="27"/>
  </w:num>
  <w:num w:numId="12" w16cid:durableId="164051272">
    <w:abstractNumId w:val="26"/>
  </w:num>
  <w:num w:numId="13" w16cid:durableId="1450854030">
    <w:abstractNumId w:val="10"/>
  </w:num>
  <w:num w:numId="14" w16cid:durableId="373359476">
    <w:abstractNumId w:val="37"/>
  </w:num>
  <w:num w:numId="15" w16cid:durableId="1009412161">
    <w:abstractNumId w:val="16"/>
  </w:num>
  <w:num w:numId="16" w16cid:durableId="2041280933">
    <w:abstractNumId w:val="11"/>
  </w:num>
  <w:num w:numId="17" w16cid:durableId="471220593">
    <w:abstractNumId w:val="30"/>
  </w:num>
  <w:num w:numId="18" w16cid:durableId="1031035851">
    <w:abstractNumId w:val="12"/>
  </w:num>
  <w:num w:numId="19" w16cid:durableId="1402945545">
    <w:abstractNumId w:val="32"/>
  </w:num>
  <w:num w:numId="20" w16cid:durableId="1667248783">
    <w:abstractNumId w:val="17"/>
  </w:num>
  <w:num w:numId="21" w16cid:durableId="1353453069">
    <w:abstractNumId w:val="22"/>
  </w:num>
  <w:num w:numId="22" w16cid:durableId="592667723">
    <w:abstractNumId w:val="14"/>
  </w:num>
  <w:num w:numId="23" w16cid:durableId="37707020">
    <w:abstractNumId w:val="33"/>
  </w:num>
  <w:num w:numId="24" w16cid:durableId="162087179">
    <w:abstractNumId w:val="9"/>
  </w:num>
  <w:num w:numId="25" w16cid:durableId="1955359617">
    <w:abstractNumId w:val="8"/>
  </w:num>
  <w:num w:numId="26" w16cid:durableId="2025740696">
    <w:abstractNumId w:val="7"/>
  </w:num>
  <w:num w:numId="27" w16cid:durableId="439375354">
    <w:abstractNumId w:val="6"/>
  </w:num>
  <w:num w:numId="28" w16cid:durableId="2034837902">
    <w:abstractNumId w:val="5"/>
  </w:num>
  <w:num w:numId="29" w16cid:durableId="765544091">
    <w:abstractNumId w:val="4"/>
  </w:num>
  <w:num w:numId="30" w16cid:durableId="1249462447">
    <w:abstractNumId w:val="3"/>
  </w:num>
  <w:num w:numId="31" w16cid:durableId="790055611">
    <w:abstractNumId w:val="2"/>
  </w:num>
  <w:num w:numId="32" w16cid:durableId="913585048">
    <w:abstractNumId w:val="1"/>
  </w:num>
  <w:num w:numId="33" w16cid:durableId="1728189480">
    <w:abstractNumId w:val="0"/>
  </w:num>
  <w:num w:numId="34" w16cid:durableId="1370304610">
    <w:abstractNumId w:val="35"/>
  </w:num>
  <w:num w:numId="35" w16cid:durableId="1152941978">
    <w:abstractNumId w:val="20"/>
  </w:num>
  <w:num w:numId="36" w16cid:durableId="2006741231">
    <w:abstractNumId w:val="23"/>
  </w:num>
  <w:num w:numId="37" w16cid:durableId="258105872">
    <w:abstractNumId w:val="19"/>
  </w:num>
  <w:num w:numId="38" w16cid:durableId="198164421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117D4"/>
    <w:rsid w:val="00025250"/>
    <w:rsid w:val="000314D7"/>
    <w:rsid w:val="00034054"/>
    <w:rsid w:val="00036EA5"/>
    <w:rsid w:val="0004307D"/>
    <w:rsid w:val="00045F8B"/>
    <w:rsid w:val="00046D2B"/>
    <w:rsid w:val="00056263"/>
    <w:rsid w:val="00064D8A"/>
    <w:rsid w:val="00064F82"/>
    <w:rsid w:val="00066510"/>
    <w:rsid w:val="000772FF"/>
    <w:rsid w:val="00077523"/>
    <w:rsid w:val="000B1DFC"/>
    <w:rsid w:val="000C089F"/>
    <w:rsid w:val="000C3928"/>
    <w:rsid w:val="000C5E8E"/>
    <w:rsid w:val="000E3F53"/>
    <w:rsid w:val="000F4751"/>
    <w:rsid w:val="0010524C"/>
    <w:rsid w:val="00111FB1"/>
    <w:rsid w:val="00113418"/>
    <w:rsid w:val="001356F1"/>
    <w:rsid w:val="00136994"/>
    <w:rsid w:val="0014128E"/>
    <w:rsid w:val="001471D2"/>
    <w:rsid w:val="00151888"/>
    <w:rsid w:val="00154095"/>
    <w:rsid w:val="0016443E"/>
    <w:rsid w:val="00170A2D"/>
    <w:rsid w:val="00173534"/>
    <w:rsid w:val="001808BC"/>
    <w:rsid w:val="00182B81"/>
    <w:rsid w:val="0018619D"/>
    <w:rsid w:val="001A011E"/>
    <w:rsid w:val="001A066A"/>
    <w:rsid w:val="001A13E6"/>
    <w:rsid w:val="001A5731"/>
    <w:rsid w:val="001B42C3"/>
    <w:rsid w:val="001C5D5E"/>
    <w:rsid w:val="001D678D"/>
    <w:rsid w:val="001E03F8"/>
    <w:rsid w:val="001E1678"/>
    <w:rsid w:val="001E3376"/>
    <w:rsid w:val="002069B3"/>
    <w:rsid w:val="00217F62"/>
    <w:rsid w:val="002312EA"/>
    <w:rsid w:val="002329CF"/>
    <w:rsid w:val="00232F5B"/>
    <w:rsid w:val="00247C29"/>
    <w:rsid w:val="00260467"/>
    <w:rsid w:val="00263EA3"/>
    <w:rsid w:val="002711AB"/>
    <w:rsid w:val="00284F85"/>
    <w:rsid w:val="002870C3"/>
    <w:rsid w:val="00290915"/>
    <w:rsid w:val="002A22E2"/>
    <w:rsid w:val="002B18C2"/>
    <w:rsid w:val="002B6836"/>
    <w:rsid w:val="002C64F7"/>
    <w:rsid w:val="002F41F2"/>
    <w:rsid w:val="00301BF3"/>
    <w:rsid w:val="0030208D"/>
    <w:rsid w:val="00323418"/>
    <w:rsid w:val="003253F9"/>
    <w:rsid w:val="00327589"/>
    <w:rsid w:val="003357BF"/>
    <w:rsid w:val="00342C23"/>
    <w:rsid w:val="0035433E"/>
    <w:rsid w:val="00364FAD"/>
    <w:rsid w:val="0036738F"/>
    <w:rsid w:val="0036759C"/>
    <w:rsid w:val="00367AE5"/>
    <w:rsid w:val="00367D71"/>
    <w:rsid w:val="0038150A"/>
    <w:rsid w:val="003825E5"/>
    <w:rsid w:val="003918C9"/>
    <w:rsid w:val="00393215"/>
    <w:rsid w:val="003B3389"/>
    <w:rsid w:val="003B4A7E"/>
    <w:rsid w:val="003B6E75"/>
    <w:rsid w:val="003B7DA1"/>
    <w:rsid w:val="003D0379"/>
    <w:rsid w:val="003D2574"/>
    <w:rsid w:val="003D4C59"/>
    <w:rsid w:val="003E5F36"/>
    <w:rsid w:val="003F0F1E"/>
    <w:rsid w:val="003F4267"/>
    <w:rsid w:val="00404032"/>
    <w:rsid w:val="0040736F"/>
    <w:rsid w:val="00412C1F"/>
    <w:rsid w:val="004176A3"/>
    <w:rsid w:val="00421CB2"/>
    <w:rsid w:val="004268B9"/>
    <w:rsid w:val="00432E99"/>
    <w:rsid w:val="00433B96"/>
    <w:rsid w:val="0043463D"/>
    <w:rsid w:val="004440F1"/>
    <w:rsid w:val="004456DD"/>
    <w:rsid w:val="00446CDF"/>
    <w:rsid w:val="004521B7"/>
    <w:rsid w:val="004548E0"/>
    <w:rsid w:val="00462AB5"/>
    <w:rsid w:val="00462D22"/>
    <w:rsid w:val="00465EAF"/>
    <w:rsid w:val="00466EEB"/>
    <w:rsid w:val="004738C5"/>
    <w:rsid w:val="0047737B"/>
    <w:rsid w:val="00491046"/>
    <w:rsid w:val="00496078"/>
    <w:rsid w:val="004A2AC7"/>
    <w:rsid w:val="004A6D2F"/>
    <w:rsid w:val="004B11AE"/>
    <w:rsid w:val="004B40AD"/>
    <w:rsid w:val="004C110D"/>
    <w:rsid w:val="004C2887"/>
    <w:rsid w:val="004D1028"/>
    <w:rsid w:val="004D2626"/>
    <w:rsid w:val="004D6E26"/>
    <w:rsid w:val="004D77D3"/>
    <w:rsid w:val="004E2959"/>
    <w:rsid w:val="004F0075"/>
    <w:rsid w:val="004F20EF"/>
    <w:rsid w:val="004F404B"/>
    <w:rsid w:val="004F7C01"/>
    <w:rsid w:val="00501B54"/>
    <w:rsid w:val="0050321C"/>
    <w:rsid w:val="00507ECC"/>
    <w:rsid w:val="00510212"/>
    <w:rsid w:val="00534816"/>
    <w:rsid w:val="00541F83"/>
    <w:rsid w:val="0054712D"/>
    <w:rsid w:val="00547EF6"/>
    <w:rsid w:val="00552284"/>
    <w:rsid w:val="0055572E"/>
    <w:rsid w:val="005570B5"/>
    <w:rsid w:val="005624AD"/>
    <w:rsid w:val="00567E18"/>
    <w:rsid w:val="005705FC"/>
    <w:rsid w:val="00575590"/>
    <w:rsid w:val="00575F5F"/>
    <w:rsid w:val="00581805"/>
    <w:rsid w:val="00582CEA"/>
    <w:rsid w:val="00585F76"/>
    <w:rsid w:val="005962E3"/>
    <w:rsid w:val="005A34E4"/>
    <w:rsid w:val="005A6610"/>
    <w:rsid w:val="005A7287"/>
    <w:rsid w:val="005B17F2"/>
    <w:rsid w:val="005B7FB0"/>
    <w:rsid w:val="005C35A5"/>
    <w:rsid w:val="005C577C"/>
    <w:rsid w:val="005D0621"/>
    <w:rsid w:val="005D1E27"/>
    <w:rsid w:val="005D2A3E"/>
    <w:rsid w:val="005E022E"/>
    <w:rsid w:val="005E5215"/>
    <w:rsid w:val="005F56B0"/>
    <w:rsid w:val="005F7F7E"/>
    <w:rsid w:val="00614693"/>
    <w:rsid w:val="00623C2F"/>
    <w:rsid w:val="00633578"/>
    <w:rsid w:val="00637068"/>
    <w:rsid w:val="00644C6C"/>
    <w:rsid w:val="00650811"/>
    <w:rsid w:val="006525EE"/>
    <w:rsid w:val="00655339"/>
    <w:rsid w:val="00661D3E"/>
    <w:rsid w:val="00692627"/>
    <w:rsid w:val="006969E7"/>
    <w:rsid w:val="006A0F1B"/>
    <w:rsid w:val="006A3643"/>
    <w:rsid w:val="006B008F"/>
    <w:rsid w:val="006B10C2"/>
    <w:rsid w:val="006C2A29"/>
    <w:rsid w:val="006C64CF"/>
    <w:rsid w:val="006D17B1"/>
    <w:rsid w:val="006D4752"/>
    <w:rsid w:val="006D708A"/>
    <w:rsid w:val="006D7E45"/>
    <w:rsid w:val="006E14C1"/>
    <w:rsid w:val="006E7F2B"/>
    <w:rsid w:val="006F0292"/>
    <w:rsid w:val="006F27FA"/>
    <w:rsid w:val="006F416B"/>
    <w:rsid w:val="006F519B"/>
    <w:rsid w:val="00704029"/>
    <w:rsid w:val="00713675"/>
    <w:rsid w:val="00715823"/>
    <w:rsid w:val="0071774A"/>
    <w:rsid w:val="0072449C"/>
    <w:rsid w:val="007253EF"/>
    <w:rsid w:val="007276F5"/>
    <w:rsid w:val="00737B93"/>
    <w:rsid w:val="00741D1E"/>
    <w:rsid w:val="00745BF0"/>
    <w:rsid w:val="00751EA3"/>
    <w:rsid w:val="007615FE"/>
    <w:rsid w:val="0076655C"/>
    <w:rsid w:val="00772337"/>
    <w:rsid w:val="007730AB"/>
    <w:rsid w:val="007742DC"/>
    <w:rsid w:val="00791437"/>
    <w:rsid w:val="0079698E"/>
    <w:rsid w:val="007A08DB"/>
    <w:rsid w:val="007B0C2C"/>
    <w:rsid w:val="007B278E"/>
    <w:rsid w:val="007B5CA2"/>
    <w:rsid w:val="007C5C23"/>
    <w:rsid w:val="007C6EB1"/>
    <w:rsid w:val="007E2A26"/>
    <w:rsid w:val="007E62D7"/>
    <w:rsid w:val="007F2348"/>
    <w:rsid w:val="007F30E8"/>
    <w:rsid w:val="007F4757"/>
    <w:rsid w:val="00802625"/>
    <w:rsid w:val="00803F07"/>
    <w:rsid w:val="008072BF"/>
    <w:rsid w:val="0080749A"/>
    <w:rsid w:val="00811B96"/>
    <w:rsid w:val="00821FB8"/>
    <w:rsid w:val="00822ACD"/>
    <w:rsid w:val="008558A0"/>
    <w:rsid w:val="00855C66"/>
    <w:rsid w:val="00871EE4"/>
    <w:rsid w:val="00886A4D"/>
    <w:rsid w:val="008954DF"/>
    <w:rsid w:val="008B293F"/>
    <w:rsid w:val="008B7371"/>
    <w:rsid w:val="008D3DDB"/>
    <w:rsid w:val="008D748A"/>
    <w:rsid w:val="008E2E32"/>
    <w:rsid w:val="008F3B04"/>
    <w:rsid w:val="008F573F"/>
    <w:rsid w:val="008F6FF8"/>
    <w:rsid w:val="00902675"/>
    <w:rsid w:val="009034EC"/>
    <w:rsid w:val="00915127"/>
    <w:rsid w:val="0093067A"/>
    <w:rsid w:val="0093283C"/>
    <w:rsid w:val="00935F17"/>
    <w:rsid w:val="00941C60"/>
    <w:rsid w:val="00941FD1"/>
    <w:rsid w:val="00950824"/>
    <w:rsid w:val="00966D42"/>
    <w:rsid w:val="00971689"/>
    <w:rsid w:val="0097170F"/>
    <w:rsid w:val="00973924"/>
    <w:rsid w:val="00973E90"/>
    <w:rsid w:val="00975B07"/>
    <w:rsid w:val="00980B4A"/>
    <w:rsid w:val="00987391"/>
    <w:rsid w:val="009939E2"/>
    <w:rsid w:val="009A656A"/>
    <w:rsid w:val="009B3E8A"/>
    <w:rsid w:val="009C0ECC"/>
    <w:rsid w:val="009C1978"/>
    <w:rsid w:val="009D7752"/>
    <w:rsid w:val="009E30E2"/>
    <w:rsid w:val="009E3D0A"/>
    <w:rsid w:val="009E51FC"/>
    <w:rsid w:val="009F1D28"/>
    <w:rsid w:val="009F7618"/>
    <w:rsid w:val="00A004D0"/>
    <w:rsid w:val="00A04D23"/>
    <w:rsid w:val="00A06766"/>
    <w:rsid w:val="00A06DB8"/>
    <w:rsid w:val="00A13765"/>
    <w:rsid w:val="00A21B12"/>
    <w:rsid w:val="00A23F80"/>
    <w:rsid w:val="00A46E98"/>
    <w:rsid w:val="00A6352B"/>
    <w:rsid w:val="00A701B5"/>
    <w:rsid w:val="00A714BB"/>
    <w:rsid w:val="00A77147"/>
    <w:rsid w:val="00A77712"/>
    <w:rsid w:val="00A92D8F"/>
    <w:rsid w:val="00AA77C2"/>
    <w:rsid w:val="00AB071F"/>
    <w:rsid w:val="00AB2988"/>
    <w:rsid w:val="00AB7999"/>
    <w:rsid w:val="00AC4BEA"/>
    <w:rsid w:val="00AC6A4E"/>
    <w:rsid w:val="00AD3292"/>
    <w:rsid w:val="00AD32E0"/>
    <w:rsid w:val="00AD34F6"/>
    <w:rsid w:val="00AD6038"/>
    <w:rsid w:val="00AE1684"/>
    <w:rsid w:val="00AE5424"/>
    <w:rsid w:val="00AE73EC"/>
    <w:rsid w:val="00AE7AF0"/>
    <w:rsid w:val="00B26754"/>
    <w:rsid w:val="00B500CA"/>
    <w:rsid w:val="00B54DDC"/>
    <w:rsid w:val="00B84C57"/>
    <w:rsid w:val="00B86314"/>
    <w:rsid w:val="00B96EA4"/>
    <w:rsid w:val="00BA1C2E"/>
    <w:rsid w:val="00BC11FC"/>
    <w:rsid w:val="00BC200B"/>
    <w:rsid w:val="00BC4756"/>
    <w:rsid w:val="00BC69A4"/>
    <w:rsid w:val="00BD6181"/>
    <w:rsid w:val="00BE0680"/>
    <w:rsid w:val="00BE305F"/>
    <w:rsid w:val="00BE7BA3"/>
    <w:rsid w:val="00BF18FB"/>
    <w:rsid w:val="00BF5682"/>
    <w:rsid w:val="00BF7B09"/>
    <w:rsid w:val="00C05260"/>
    <w:rsid w:val="00C076B9"/>
    <w:rsid w:val="00C1247E"/>
    <w:rsid w:val="00C20A95"/>
    <w:rsid w:val="00C2692F"/>
    <w:rsid w:val="00C3207C"/>
    <w:rsid w:val="00C400E1"/>
    <w:rsid w:val="00C41187"/>
    <w:rsid w:val="00C46CDD"/>
    <w:rsid w:val="00C5559A"/>
    <w:rsid w:val="00C62FCB"/>
    <w:rsid w:val="00C63C31"/>
    <w:rsid w:val="00C757A0"/>
    <w:rsid w:val="00C760DE"/>
    <w:rsid w:val="00C82630"/>
    <w:rsid w:val="00C85B4E"/>
    <w:rsid w:val="00C907F7"/>
    <w:rsid w:val="00CA2103"/>
    <w:rsid w:val="00CB21E8"/>
    <w:rsid w:val="00CB5303"/>
    <w:rsid w:val="00CB6B99"/>
    <w:rsid w:val="00CE4C87"/>
    <w:rsid w:val="00CE544A"/>
    <w:rsid w:val="00D11E1C"/>
    <w:rsid w:val="00D120B1"/>
    <w:rsid w:val="00D160B0"/>
    <w:rsid w:val="00D17F94"/>
    <w:rsid w:val="00D223FC"/>
    <w:rsid w:val="00D26D1E"/>
    <w:rsid w:val="00D30025"/>
    <w:rsid w:val="00D474CF"/>
    <w:rsid w:val="00D5547E"/>
    <w:rsid w:val="00D65C91"/>
    <w:rsid w:val="00D705D9"/>
    <w:rsid w:val="00D860E2"/>
    <w:rsid w:val="00D869A1"/>
    <w:rsid w:val="00D90717"/>
    <w:rsid w:val="00DA413F"/>
    <w:rsid w:val="00DA4584"/>
    <w:rsid w:val="00DA614B"/>
    <w:rsid w:val="00DB54C3"/>
    <w:rsid w:val="00DB7AD7"/>
    <w:rsid w:val="00DC3060"/>
    <w:rsid w:val="00DD5768"/>
    <w:rsid w:val="00DE0FB2"/>
    <w:rsid w:val="00DE601A"/>
    <w:rsid w:val="00DF093E"/>
    <w:rsid w:val="00DF2C43"/>
    <w:rsid w:val="00E01F42"/>
    <w:rsid w:val="00E026D1"/>
    <w:rsid w:val="00E206D6"/>
    <w:rsid w:val="00E216EB"/>
    <w:rsid w:val="00E3366E"/>
    <w:rsid w:val="00E52086"/>
    <w:rsid w:val="00E543A6"/>
    <w:rsid w:val="00E60479"/>
    <w:rsid w:val="00E61D73"/>
    <w:rsid w:val="00E63593"/>
    <w:rsid w:val="00E73684"/>
    <w:rsid w:val="00E73C48"/>
    <w:rsid w:val="00E81622"/>
    <w:rsid w:val="00E818D6"/>
    <w:rsid w:val="00E83D58"/>
    <w:rsid w:val="00E87C49"/>
    <w:rsid w:val="00E87F7A"/>
    <w:rsid w:val="00E94B3E"/>
    <w:rsid w:val="00E96BD7"/>
    <w:rsid w:val="00EA0DB1"/>
    <w:rsid w:val="00EA0EE9"/>
    <w:rsid w:val="00EA57BD"/>
    <w:rsid w:val="00EC27FB"/>
    <w:rsid w:val="00ED52CA"/>
    <w:rsid w:val="00ED5860"/>
    <w:rsid w:val="00EE35C9"/>
    <w:rsid w:val="00F05ECA"/>
    <w:rsid w:val="00F16BC0"/>
    <w:rsid w:val="00F26E21"/>
    <w:rsid w:val="00F3566E"/>
    <w:rsid w:val="00F375FB"/>
    <w:rsid w:val="00F41AC1"/>
    <w:rsid w:val="00F4367A"/>
    <w:rsid w:val="00F445B1"/>
    <w:rsid w:val="00F45CD4"/>
    <w:rsid w:val="00F56C3C"/>
    <w:rsid w:val="00F61443"/>
    <w:rsid w:val="00F66DCA"/>
    <w:rsid w:val="00F74F53"/>
    <w:rsid w:val="00F7606D"/>
    <w:rsid w:val="00F81670"/>
    <w:rsid w:val="00F82024"/>
    <w:rsid w:val="00F865A3"/>
    <w:rsid w:val="00F95BC9"/>
    <w:rsid w:val="00FA42AB"/>
    <w:rsid w:val="00FA624C"/>
    <w:rsid w:val="00FB3B71"/>
    <w:rsid w:val="00FD0FAC"/>
    <w:rsid w:val="00FD1DFA"/>
    <w:rsid w:val="00FD4966"/>
    <w:rsid w:val="00FD51DC"/>
    <w:rsid w:val="00FE57DC"/>
    <w:rsid w:val="00FF095A"/>
    <w:rsid w:val="05B94C3D"/>
    <w:rsid w:val="07D434D5"/>
    <w:rsid w:val="0AEAD29A"/>
    <w:rsid w:val="0B89A7FD"/>
    <w:rsid w:val="0E137018"/>
    <w:rsid w:val="0ECD8498"/>
    <w:rsid w:val="0FB9297F"/>
    <w:rsid w:val="11DE2519"/>
    <w:rsid w:val="150E6135"/>
    <w:rsid w:val="16C788FA"/>
    <w:rsid w:val="187CEEE6"/>
    <w:rsid w:val="18B12936"/>
    <w:rsid w:val="1BC0B843"/>
    <w:rsid w:val="1BDE6ACD"/>
    <w:rsid w:val="1C62DB68"/>
    <w:rsid w:val="1E2AA5CE"/>
    <w:rsid w:val="22F0553C"/>
    <w:rsid w:val="238A6E87"/>
    <w:rsid w:val="24AA93AA"/>
    <w:rsid w:val="25C8DF4C"/>
    <w:rsid w:val="27395084"/>
    <w:rsid w:val="278ACBEA"/>
    <w:rsid w:val="282C914F"/>
    <w:rsid w:val="2875A525"/>
    <w:rsid w:val="29894939"/>
    <w:rsid w:val="2DC2B855"/>
    <w:rsid w:val="3323D874"/>
    <w:rsid w:val="33C8C2FF"/>
    <w:rsid w:val="34C5ADE6"/>
    <w:rsid w:val="34ECE2A5"/>
    <w:rsid w:val="35E68B5F"/>
    <w:rsid w:val="3742E73C"/>
    <w:rsid w:val="38C4BD77"/>
    <w:rsid w:val="3A028991"/>
    <w:rsid w:val="3A1580BC"/>
    <w:rsid w:val="3BB43EC8"/>
    <w:rsid w:val="3C9559B9"/>
    <w:rsid w:val="3D75EE1D"/>
    <w:rsid w:val="4165F553"/>
    <w:rsid w:val="431C3BF6"/>
    <w:rsid w:val="43F42839"/>
    <w:rsid w:val="47265693"/>
    <w:rsid w:val="4DC9FD09"/>
    <w:rsid w:val="4DF06A9C"/>
    <w:rsid w:val="51049B70"/>
    <w:rsid w:val="52141FE7"/>
    <w:rsid w:val="530E7F80"/>
    <w:rsid w:val="53124442"/>
    <w:rsid w:val="54BD7E5A"/>
    <w:rsid w:val="562DCFA1"/>
    <w:rsid w:val="571C62E4"/>
    <w:rsid w:val="58C16BAB"/>
    <w:rsid w:val="5C2301F2"/>
    <w:rsid w:val="5CD2A867"/>
    <w:rsid w:val="5D0EC0A9"/>
    <w:rsid w:val="5D6EE46E"/>
    <w:rsid w:val="5DE62121"/>
    <w:rsid w:val="60B35EF8"/>
    <w:rsid w:val="613D2893"/>
    <w:rsid w:val="61A3A15C"/>
    <w:rsid w:val="62B73EE3"/>
    <w:rsid w:val="636BDC7A"/>
    <w:rsid w:val="66DAE348"/>
    <w:rsid w:val="6BFBC2A1"/>
    <w:rsid w:val="6ECA3545"/>
    <w:rsid w:val="70F8304B"/>
    <w:rsid w:val="7276546A"/>
    <w:rsid w:val="75E01BB2"/>
    <w:rsid w:val="76D8CABF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5B2BA3E5-8E0C-4EC8-9220-F637E85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uiPriority w:val="99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4"/>
      </w:num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3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ooterChar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B40AD"/>
    <w:rPr>
      <w:color w:val="605E5C"/>
      <w:shd w:val="clear" w:color="auto" w:fill="E1DFDD"/>
    </w:rPr>
  </w:style>
  <w:style w:type="paragraph" w:customStyle="1" w:styleId="Default">
    <w:name w:val="Default"/>
    <w:rsid w:val="00CB5303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lton@oxford.gov.uk" TargetMode="External"/><Relationship Id="rId13" Type="http://schemas.openxmlformats.org/officeDocument/2006/relationships/hyperlink" Target="https://www.gov.uk/government/organisations/charity-commiss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mpanieshouse.blog.gov.uk/2019/02/21/7-duties-of-a-company-director/" TargetMode="External"/><Relationship Id="rId17" Type="http://schemas.openxmlformats.org/officeDocument/2006/relationships/hyperlink" Target="https://www.gov.uk/unincorporated-associa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charity-types-how-to-choose-a-structu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od.com/resources/company-structure/directors-duties-and-responsibilit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uidance/charity-trustee-whats-involved" TargetMode="External"/><Relationship Id="rId10" Type="http://schemas.openxmlformats.org/officeDocument/2006/relationships/hyperlink" Target="https://www.gov.uk/guidance/being-a-company-directo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/companies-house" TargetMode="External"/><Relationship Id="rId14" Type="http://schemas.openxmlformats.org/officeDocument/2006/relationships/hyperlink" Target="https://www.gov.uk/government/publications/the-essential-trustee-what-you-need-to-know-cc3/the-essential-trustee-what-you-need-to-know-what-you-need-to-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OxCityCouncil Cabinet report</vt:lpstr>
    </vt:vector>
  </TitlesOfParts>
  <Company>Oxford City Council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creator>jmitchell</dc:creator>
  <cp:keywords>OxCityCouncil Report</cp:keywords>
  <cp:lastModifiedBy>MALTON Jonathan</cp:lastModifiedBy>
  <cp:revision>20</cp:revision>
  <cp:lastPrinted>2015-07-03T13:50:00Z</cp:lastPrinted>
  <dcterms:created xsi:type="dcterms:W3CDTF">2025-06-04T11:25:00Z</dcterms:created>
  <dcterms:modified xsi:type="dcterms:W3CDTF">2025-06-19T19:04:00Z</dcterms:modified>
  <cp:category>Report to Council or Committee</cp:category>
</cp:coreProperties>
</file>